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color w:val="auto"/>
          <w:sz w:val="28"/>
        </w:rPr>
      </w:pPr>
      <w:r>
        <w:rPr>
          <w:rFonts w:hint="eastAsia" w:ascii="宋体" w:hAnsi="宋体" w:cs="宋体"/>
          <w:color w:val="auto"/>
          <w:sz w:val="28"/>
        </w:rPr>
        <w:drawing>
          <wp:anchor distT="0" distB="0" distL="114300" distR="114300" simplePos="0" relativeHeight="251661312"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9">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r>
        <w:rPr>
          <w:rFonts w:hint="eastAsia" w:ascii="宋体" w:hAnsi="宋体" w:cs="宋体"/>
          <w:color w:val="auto"/>
          <w:sz w:val="28"/>
        </w:rPr>
        <w:drawing>
          <wp:anchor distT="0" distB="0" distL="114300" distR="114300" simplePos="0" relativeHeight="251660288"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0"/>
                    <a:stretch>
                      <a:fillRect/>
                    </a:stretch>
                  </pic:blipFill>
                  <pic:spPr>
                    <a:xfrm>
                      <a:off x="0" y="0"/>
                      <a:ext cx="7557135" cy="1070991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8"/>
        </w:rPr>
        <w:t xml:space="preserve">                                                                                                                                                                                                                                                                       </w:t>
      </w:r>
    </w:p>
    <w:p>
      <w:pPr>
        <w:kinsoku w:val="0"/>
        <w:overflowPunct w:val="0"/>
        <w:ind w:right="17"/>
        <w:jc w:val="center"/>
        <w:rPr>
          <w:rFonts w:asciiTheme="minorEastAsia" w:hAnsiTheme="minorEastAsia" w:eastAsiaTheme="minorEastAsia" w:cstheme="minorEastAsia"/>
          <w:color w:val="auto"/>
          <w:sz w:val="28"/>
        </w:rPr>
      </w:pPr>
    </w:p>
    <w:p>
      <w:pPr>
        <w:kinsoku w:val="0"/>
        <w:overflowPunct w:val="0"/>
        <w:ind w:right="17"/>
        <w:jc w:val="center"/>
        <w:rPr>
          <w:rFonts w:asciiTheme="minorEastAsia" w:hAnsiTheme="minorEastAsia" w:eastAsiaTheme="minorEastAsia" w:cstheme="minorEastAsia"/>
          <w:color w:val="auto"/>
          <w:sz w:val="28"/>
        </w:rPr>
      </w:pPr>
    </w:p>
    <w:p>
      <w:pPr>
        <w:kinsoku w:val="0"/>
        <w:overflowPunct w:val="0"/>
        <w:ind w:right="17"/>
        <w:jc w:val="center"/>
        <w:rPr>
          <w:rFonts w:asciiTheme="minorEastAsia" w:hAnsiTheme="minorEastAsia" w:eastAsiaTheme="minorEastAsia" w:cstheme="minorEastAsia"/>
          <w:color w:val="auto"/>
          <w:sz w:val="28"/>
        </w:rPr>
      </w:pPr>
      <w:r>
        <w:rPr>
          <w:rFonts w:hint="eastAsia" w:asciiTheme="minorEastAsia" w:hAnsiTheme="minorEastAsia" w:eastAsiaTheme="minorEastAsia" w:cstheme="minorEastAsia"/>
          <w:color w:val="auto"/>
          <w:sz w:val="28"/>
        </w:rPr>
        <w:br w:type="textWrapping"/>
      </w:r>
      <w:r>
        <w:rPr>
          <w:rFonts w:hint="eastAsia" w:asciiTheme="minorEastAsia" w:hAnsiTheme="minorEastAsia" w:eastAsiaTheme="minorEastAsia" w:cstheme="minorEastAsia"/>
          <w:color w:val="auto"/>
          <w:sz w:val="28"/>
        </w:rPr>
        <w:br w:type="textWrapping"/>
      </w:r>
      <w:r>
        <w:rPr>
          <w:rFonts w:hint="eastAsia" w:asciiTheme="minorEastAsia" w:hAnsiTheme="minorEastAsia" w:eastAsiaTheme="minorEastAsia" w:cstheme="minorEastAsia"/>
          <w:b/>
          <w:bCs/>
          <w:color w:val="auto"/>
          <w:sz w:val="28"/>
        </w:rPr>
        <w:t>湖 北 省 省 级 政 府 采 购 项 目</w:t>
      </w:r>
    </w:p>
    <w:p>
      <w:pPr>
        <w:pStyle w:val="12"/>
        <w:kinsoku w:val="0"/>
        <w:overflowPunct w:val="0"/>
        <w:spacing w:before="194"/>
        <w:jc w:val="center"/>
        <w:rPr>
          <w:rFonts w:asciiTheme="minorEastAsia" w:hAnsiTheme="minorEastAsia" w:eastAsiaTheme="minorEastAsia" w:cstheme="minorEastAsia"/>
          <w:color w:val="auto"/>
          <w:sz w:val="92"/>
        </w:rPr>
      </w:pPr>
      <w:r>
        <w:rPr>
          <w:rFonts w:hint="eastAsia" w:asciiTheme="minorEastAsia" w:hAnsiTheme="minorEastAsia" w:eastAsiaTheme="minorEastAsia" w:cstheme="minorEastAsia"/>
          <w:color w:val="auto"/>
          <w:sz w:val="92"/>
          <w14:shadow w14:blurRad="50800" w14:dist="38100" w14:dir="2700000" w14:sx="100000" w14:sy="100000" w14:kx="0" w14:ky="0" w14:algn="tl">
            <w14:srgbClr w14:val="000000">
              <w14:alpha w14:val="60000"/>
            </w14:srgbClr>
          </w14:shadow>
        </w:rPr>
        <w:t>竞争性磋商采购文件</w:t>
      </w:r>
    </w:p>
    <w:p>
      <w:pPr>
        <w:pStyle w:val="12"/>
        <w:kinsoku w:val="0"/>
        <w:overflowPunct w:val="0"/>
        <w:rPr>
          <w:rFonts w:asciiTheme="minorEastAsia" w:hAnsiTheme="minorEastAsia" w:eastAsiaTheme="minorEastAsia" w:cstheme="minorEastAsia"/>
          <w:color w:val="auto"/>
          <w:sz w:val="20"/>
        </w:rPr>
      </w:pPr>
    </w:p>
    <w:p>
      <w:pPr>
        <w:pStyle w:val="12"/>
        <w:kinsoku w:val="0"/>
        <w:overflowPunct w:val="0"/>
        <w:jc w:val="center"/>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spacing w:before="2" w:after="1"/>
        <w:rPr>
          <w:rFonts w:asciiTheme="minorEastAsia" w:hAnsiTheme="minorEastAsia" w:eastAsiaTheme="minorEastAsia" w:cstheme="minorEastAsia"/>
          <w:color w:val="auto"/>
          <w:sz w:val="11"/>
        </w:rPr>
      </w:pPr>
    </w:p>
    <w:tbl>
      <w:tblPr>
        <w:tblStyle w:val="28"/>
        <w:tblW w:w="9128" w:type="dxa"/>
        <w:tblInd w:w="690" w:type="dxa"/>
        <w:tblLayout w:type="fixed"/>
        <w:tblCellMar>
          <w:top w:w="0" w:type="dxa"/>
          <w:left w:w="0" w:type="dxa"/>
          <w:bottom w:w="0" w:type="dxa"/>
          <w:right w:w="0" w:type="dxa"/>
        </w:tblCellMar>
      </w:tblPr>
      <w:tblGrid>
        <w:gridCol w:w="2120"/>
        <w:gridCol w:w="7008"/>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4"/>
              <w:kinsoku w:val="0"/>
              <w:overflowPunct w:val="0"/>
              <w:spacing w:before="122"/>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计划备案号：</w:t>
            </w:r>
          </w:p>
        </w:tc>
        <w:tc>
          <w:tcPr>
            <w:tcW w:w="7008" w:type="dxa"/>
            <w:tcBorders>
              <w:top w:val="nil"/>
              <w:left w:val="nil"/>
              <w:bottom w:val="nil"/>
              <w:right w:val="nil"/>
              <w:tl2br w:val="nil"/>
              <w:tr2bl w:val="nil"/>
            </w:tcBorders>
            <w:vAlign w:val="center"/>
          </w:tcPr>
          <w:p>
            <w:pPr>
              <w:pStyle w:val="104"/>
              <w:kinsoku w:val="0"/>
              <w:overflowPunct w:val="0"/>
              <w:spacing w:before="122"/>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420000-2022-16634</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4"/>
              <w:kinsoku w:val="0"/>
              <w:overflowPunct w:val="0"/>
              <w:spacing w:before="122"/>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项目编号：</w:t>
            </w:r>
          </w:p>
        </w:tc>
        <w:tc>
          <w:tcPr>
            <w:tcW w:w="7008" w:type="dxa"/>
            <w:tcBorders>
              <w:top w:val="nil"/>
              <w:left w:val="nil"/>
              <w:bottom w:val="nil"/>
              <w:right w:val="nil"/>
              <w:tl2br w:val="nil"/>
              <w:tr2bl w:val="nil"/>
            </w:tcBorders>
            <w:vAlign w:val="center"/>
          </w:tcPr>
          <w:p>
            <w:pPr>
              <w:pStyle w:val="104"/>
              <w:kinsoku w:val="0"/>
              <w:overflowPunct w:val="0"/>
              <w:spacing w:before="122"/>
              <w:ind w:left="55"/>
              <w:rPr>
                <w:rFonts w:hint="default" w:asciiTheme="minorEastAsia" w:hAnsiTheme="minorEastAsia" w:eastAsiaTheme="minorEastAsia" w:cstheme="minorEastAsia"/>
                <w:b/>
                <w:color w:val="auto"/>
                <w:sz w:val="28"/>
              </w:rPr>
            </w:pPr>
            <w:r>
              <w:rPr>
                <w:rFonts w:ascii="宋体" w:hAnsi="宋体" w:cs="宋体"/>
                <w:b/>
                <w:color w:val="auto"/>
                <w:sz w:val="28"/>
              </w:rPr>
              <w:t>HGDXW22-098/ZCHM-ZC-202211-155</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4"/>
              <w:kinsoku w:val="0"/>
              <w:overflowPunct w:val="0"/>
              <w:spacing w:before="122"/>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项目名称：</w:t>
            </w:r>
          </w:p>
        </w:tc>
        <w:tc>
          <w:tcPr>
            <w:tcW w:w="7008" w:type="dxa"/>
            <w:tcBorders>
              <w:top w:val="nil"/>
              <w:left w:val="nil"/>
              <w:bottom w:val="nil"/>
              <w:right w:val="nil"/>
              <w:tl2br w:val="nil"/>
              <w:tr2bl w:val="nil"/>
            </w:tcBorders>
            <w:vAlign w:val="center"/>
          </w:tcPr>
          <w:p>
            <w:pPr>
              <w:pStyle w:val="104"/>
              <w:kinsoku w:val="0"/>
              <w:overflowPunct w:val="0"/>
              <w:spacing w:before="123" w:line="242" w:lineRule="auto"/>
              <w:ind w:left="55" w:right="136"/>
              <w:rPr>
                <w:rFonts w:hint="eastAsia" w:asciiTheme="minorEastAsia" w:hAnsiTheme="minorEastAsia" w:eastAsiaTheme="minorEastAsia" w:cstheme="minorEastAsia"/>
                <w:b/>
                <w:color w:val="auto"/>
                <w:sz w:val="28"/>
                <w:lang w:eastAsia="zh-CN"/>
              </w:rPr>
            </w:pPr>
            <w:r>
              <w:rPr>
                <w:rFonts w:asciiTheme="minorEastAsia" w:hAnsiTheme="minorEastAsia" w:eastAsiaTheme="minorEastAsia" w:cstheme="minorEastAsia"/>
                <w:b/>
                <w:color w:val="auto"/>
                <w:sz w:val="28"/>
              </w:rPr>
              <w:t>湖北工业大学工程2号楼标准化考场建设项目</w:t>
            </w:r>
            <w:r>
              <w:rPr>
                <w:rFonts w:hint="eastAsia" w:asciiTheme="minorEastAsia" w:hAnsiTheme="minorEastAsia" w:eastAsiaTheme="minorEastAsia" w:cstheme="minorEastAsia"/>
                <w:b/>
                <w:color w:val="auto"/>
                <w:sz w:val="28"/>
                <w:lang w:eastAsia="zh-CN"/>
              </w:rPr>
              <w:t>（二次）</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4"/>
              <w:kinsoku w:val="0"/>
              <w:overflowPunct w:val="0"/>
              <w:spacing w:before="122" w:line="299" w:lineRule="exact"/>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采购方式：</w:t>
            </w:r>
          </w:p>
        </w:tc>
        <w:tc>
          <w:tcPr>
            <w:tcW w:w="7008" w:type="dxa"/>
            <w:tcBorders>
              <w:top w:val="nil"/>
              <w:left w:val="nil"/>
              <w:bottom w:val="nil"/>
              <w:right w:val="nil"/>
              <w:tl2br w:val="nil"/>
              <w:tr2bl w:val="nil"/>
            </w:tcBorders>
            <w:vAlign w:val="center"/>
          </w:tcPr>
          <w:p>
            <w:pPr>
              <w:pStyle w:val="104"/>
              <w:kinsoku w:val="0"/>
              <w:overflowPunct w:val="0"/>
              <w:spacing w:before="122" w:line="299" w:lineRule="exact"/>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4"/>
              <w:kinsoku w:val="0"/>
              <w:overflowPunct w:val="0"/>
              <w:spacing w:before="122" w:line="299" w:lineRule="exact"/>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采购类别：</w:t>
            </w:r>
          </w:p>
        </w:tc>
        <w:tc>
          <w:tcPr>
            <w:tcW w:w="7008" w:type="dxa"/>
            <w:tcBorders>
              <w:top w:val="nil"/>
              <w:left w:val="nil"/>
              <w:bottom w:val="nil"/>
              <w:right w:val="nil"/>
              <w:tl2br w:val="nil"/>
              <w:tr2bl w:val="nil"/>
            </w:tcBorders>
            <w:vAlign w:val="center"/>
          </w:tcPr>
          <w:p>
            <w:pPr>
              <w:pStyle w:val="104"/>
              <w:kinsoku w:val="0"/>
              <w:overflowPunct w:val="0"/>
              <w:spacing w:before="122" w:line="299" w:lineRule="exact"/>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货物</w:t>
            </w:r>
          </w:p>
        </w:tc>
      </w:tr>
    </w:tbl>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spacing w:before="4"/>
        <w:rPr>
          <w:rFonts w:asciiTheme="minorEastAsia" w:hAnsiTheme="minorEastAsia" w:eastAsiaTheme="minorEastAsia" w:cstheme="minorEastAsia"/>
          <w:color w:val="auto"/>
          <w:sz w:val="20"/>
        </w:rPr>
      </w:pPr>
    </w:p>
    <w:tbl>
      <w:tblPr>
        <w:tblStyle w:val="28"/>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104"/>
              <w:kinsoku w:val="0"/>
              <w:overflowPunct w:val="0"/>
              <w:spacing w:before="122" w:line="299" w:lineRule="exact"/>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   购   人：</w:t>
            </w:r>
          </w:p>
        </w:tc>
        <w:tc>
          <w:tcPr>
            <w:tcW w:w="6026" w:type="dxa"/>
            <w:tcBorders>
              <w:top w:val="nil"/>
              <w:left w:val="nil"/>
              <w:bottom w:val="nil"/>
              <w:right w:val="nil"/>
              <w:tl2br w:val="nil"/>
              <w:tr2bl w:val="nil"/>
            </w:tcBorders>
            <w:vAlign w:val="center"/>
          </w:tcPr>
          <w:p>
            <w:pPr>
              <w:pStyle w:val="104"/>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104"/>
              <w:kinsoku w:val="0"/>
              <w:overflowPunct w:val="0"/>
              <w:spacing w:before="122" w:line="299" w:lineRule="exact"/>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采购代理机构：</w:t>
            </w:r>
          </w:p>
        </w:tc>
        <w:tc>
          <w:tcPr>
            <w:tcW w:w="6026" w:type="dxa"/>
            <w:tcBorders>
              <w:top w:val="nil"/>
              <w:left w:val="nil"/>
              <w:bottom w:val="nil"/>
              <w:right w:val="nil"/>
              <w:tl2br w:val="nil"/>
              <w:tr2bl w:val="nil"/>
            </w:tcBorders>
            <w:vAlign w:val="center"/>
          </w:tcPr>
          <w:p>
            <w:pPr>
              <w:pStyle w:val="104"/>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104"/>
              <w:kinsoku w:val="0"/>
              <w:overflowPunct w:val="0"/>
              <w:spacing w:before="122" w:line="299" w:lineRule="exact"/>
              <w:ind w:right="53"/>
              <w:jc w:val="distribute"/>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编 制 时 间：</w:t>
            </w:r>
          </w:p>
        </w:tc>
        <w:tc>
          <w:tcPr>
            <w:tcW w:w="6026" w:type="dxa"/>
            <w:tcBorders>
              <w:top w:val="nil"/>
              <w:left w:val="nil"/>
              <w:bottom w:val="nil"/>
              <w:right w:val="nil"/>
              <w:tl2br w:val="nil"/>
              <w:tr2bl w:val="nil"/>
            </w:tcBorders>
            <w:vAlign w:val="center"/>
          </w:tcPr>
          <w:p>
            <w:pPr>
              <w:pStyle w:val="104"/>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202</w:t>
            </w:r>
            <w:r>
              <w:rPr>
                <w:rFonts w:hint="eastAsia" w:asciiTheme="minorEastAsia" w:hAnsiTheme="minorEastAsia" w:eastAsiaTheme="minorEastAsia" w:cstheme="minorEastAsia"/>
                <w:b/>
                <w:color w:val="auto"/>
                <w:sz w:val="28"/>
                <w:lang w:val="en-US" w:eastAsia="zh-CN"/>
              </w:rPr>
              <w:t>3</w:t>
            </w:r>
            <w:r>
              <w:rPr>
                <w:rFonts w:asciiTheme="minorEastAsia" w:hAnsiTheme="minorEastAsia" w:eastAsiaTheme="minorEastAsia" w:cstheme="minorEastAsia"/>
                <w:b/>
                <w:color w:val="auto"/>
                <w:sz w:val="28"/>
              </w:rPr>
              <w:t>年</w:t>
            </w:r>
            <w:r>
              <w:rPr>
                <w:rFonts w:hint="eastAsia" w:asciiTheme="minorEastAsia" w:hAnsiTheme="minorEastAsia" w:eastAsiaTheme="minorEastAsia" w:cstheme="minorEastAsia"/>
                <w:b/>
                <w:color w:val="auto"/>
                <w:sz w:val="28"/>
                <w:lang w:val="en-US" w:eastAsia="zh-CN"/>
              </w:rPr>
              <w:t>7</w:t>
            </w:r>
            <w:r>
              <w:rPr>
                <w:rFonts w:asciiTheme="minorEastAsia" w:hAnsiTheme="minorEastAsia" w:eastAsiaTheme="minorEastAsia" w:cstheme="minorEastAsia"/>
                <w:b/>
                <w:color w:val="auto"/>
                <w:sz w:val="28"/>
              </w:rPr>
              <w:t>月</w:t>
            </w:r>
          </w:p>
        </w:tc>
      </w:tr>
    </w:tbl>
    <w:p>
      <w:pPr>
        <w:rPr>
          <w:rFonts w:asciiTheme="minorEastAsia" w:hAnsiTheme="minorEastAsia" w:eastAsiaTheme="minorEastAsia" w:cstheme="minorEastAsia"/>
          <w:color w:val="auto"/>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 w:val="44"/>
          <w:szCs w:val="44"/>
          <w:lang w:val="zh-CN"/>
        </w:rPr>
        <w:tab/>
      </w:r>
      <w:r>
        <w:rPr>
          <w:rFonts w:hint="eastAsia" w:asciiTheme="minorEastAsia" w:hAnsiTheme="minorEastAsia" w:eastAsiaTheme="minorEastAsia" w:cstheme="minorEastAsia"/>
          <w:b/>
          <w:bCs/>
          <w:color w:val="auto"/>
          <w:sz w:val="24"/>
          <w:lang w:val="zh-CN"/>
        </w:rPr>
        <w:t>目  录</w:t>
      </w:r>
      <w:r>
        <w:rPr>
          <w:rFonts w:hint="eastAsia" w:asciiTheme="minorEastAsia" w:hAnsiTheme="minorEastAsia" w:eastAsiaTheme="minorEastAsia" w:cstheme="minorEastAsia"/>
          <w:b/>
          <w:bCs/>
          <w:color w:val="auto"/>
          <w:szCs w:val="21"/>
          <w:lang w:val="zh-CN"/>
        </w:rPr>
        <w:tab/>
      </w:r>
    </w:p>
    <w:p>
      <w:pPr>
        <w:pStyle w:val="22"/>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TOC \o "1-3" \h \z \u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_Toc115 </w:instrText>
      </w:r>
      <w:r>
        <w:rPr>
          <w:rFonts w:hint="eastAsia" w:asciiTheme="minorEastAsia" w:hAnsiTheme="minorEastAsia" w:eastAsiaTheme="minorEastAsia" w:cstheme="minorEastAsia"/>
          <w:color w:val="auto"/>
          <w:szCs w:val="21"/>
        </w:rPr>
        <w:fldChar w:fldCharType="separate"/>
      </w:r>
      <w:r>
        <w:rPr>
          <w:rFonts w:hint="default"/>
          <w:bCs/>
          <w:color w:val="auto"/>
          <w:szCs w:val="36"/>
        </w:rPr>
        <w:t xml:space="preserve">第一章 </w:t>
      </w:r>
      <w:r>
        <w:rPr>
          <w:rFonts w:hint="eastAsia" w:ascii="宋体" w:hAnsi="宋体" w:cs="宋体"/>
          <w:color w:val="auto"/>
          <w:szCs w:val="36"/>
        </w:rPr>
        <w:t>竞争性磋商公告</w:t>
      </w:r>
      <w:r>
        <w:rPr>
          <w:color w:val="auto"/>
        </w:rPr>
        <w:tab/>
      </w:r>
      <w:r>
        <w:rPr>
          <w:color w:val="auto"/>
        </w:rPr>
        <w:fldChar w:fldCharType="begin"/>
      </w:r>
      <w:r>
        <w:rPr>
          <w:color w:val="auto"/>
        </w:rPr>
        <w:instrText xml:space="preserve"> PAGEREF _Toc115 \h </w:instrText>
      </w:r>
      <w:r>
        <w:rPr>
          <w:color w:val="auto"/>
        </w:rPr>
        <w:fldChar w:fldCharType="separate"/>
      </w:r>
      <w:r>
        <w:rPr>
          <w:color w:val="auto"/>
        </w:rPr>
        <w:t>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_Toc7854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一、 </w:t>
      </w:r>
      <w:r>
        <w:rPr>
          <w:rFonts w:hint="eastAsia" w:ascii="宋体" w:hAnsi="宋体" w:eastAsia="宋体" w:cs="宋体"/>
          <w:color w:val="auto"/>
          <w:szCs w:val="21"/>
        </w:rPr>
        <w:t>项目基本情况</w:t>
      </w:r>
      <w:r>
        <w:rPr>
          <w:color w:val="auto"/>
        </w:rPr>
        <w:tab/>
      </w:r>
      <w:r>
        <w:rPr>
          <w:color w:val="auto"/>
        </w:rPr>
        <w:fldChar w:fldCharType="begin"/>
      </w:r>
      <w:r>
        <w:rPr>
          <w:color w:val="auto"/>
        </w:rPr>
        <w:instrText xml:space="preserve"> PAGEREF _Toc7854 \h </w:instrText>
      </w:r>
      <w:r>
        <w:rPr>
          <w:color w:val="auto"/>
        </w:rPr>
        <w:fldChar w:fldCharType="separate"/>
      </w:r>
      <w:r>
        <w:rPr>
          <w:color w:val="auto"/>
        </w:rPr>
        <w:t>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_Toc30728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二、 </w:t>
      </w:r>
      <w:r>
        <w:rPr>
          <w:rFonts w:hint="eastAsia" w:ascii="宋体" w:hAnsi="宋体" w:eastAsia="宋体" w:cs="宋体"/>
          <w:color w:val="auto"/>
          <w:szCs w:val="21"/>
        </w:rPr>
        <w:t>申请人的资格要求</w:t>
      </w:r>
      <w:r>
        <w:rPr>
          <w:color w:val="auto"/>
        </w:rPr>
        <w:tab/>
      </w:r>
      <w:r>
        <w:rPr>
          <w:color w:val="auto"/>
        </w:rPr>
        <w:fldChar w:fldCharType="begin"/>
      </w:r>
      <w:r>
        <w:rPr>
          <w:color w:val="auto"/>
        </w:rPr>
        <w:instrText xml:space="preserve"> PAGEREF _Toc30728 \h </w:instrText>
      </w:r>
      <w:r>
        <w:rPr>
          <w:color w:val="auto"/>
        </w:rPr>
        <w:fldChar w:fldCharType="separate"/>
      </w:r>
      <w:r>
        <w:rPr>
          <w:color w:val="auto"/>
        </w:rPr>
        <w:t>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_Toc25995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三、 </w:t>
      </w:r>
      <w:r>
        <w:rPr>
          <w:rFonts w:hint="eastAsia" w:ascii="宋体" w:hAnsi="宋体" w:eastAsia="宋体" w:cs="宋体"/>
          <w:color w:val="auto"/>
          <w:szCs w:val="21"/>
        </w:rPr>
        <w:t>获取采购文件</w:t>
      </w:r>
      <w:r>
        <w:rPr>
          <w:color w:val="auto"/>
        </w:rPr>
        <w:tab/>
      </w:r>
      <w:r>
        <w:rPr>
          <w:color w:val="auto"/>
        </w:rPr>
        <w:fldChar w:fldCharType="begin"/>
      </w:r>
      <w:r>
        <w:rPr>
          <w:color w:val="auto"/>
        </w:rPr>
        <w:instrText xml:space="preserve"> PAGEREF _Toc25995 \h </w:instrText>
      </w:r>
      <w:r>
        <w:rPr>
          <w:color w:val="auto"/>
        </w:rPr>
        <w:fldChar w:fldCharType="separate"/>
      </w:r>
      <w:r>
        <w:rPr>
          <w:color w:val="auto"/>
        </w:rPr>
        <w:t>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_Toc12091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四、 </w:t>
      </w:r>
      <w:r>
        <w:rPr>
          <w:rFonts w:hint="eastAsia" w:ascii="宋体" w:hAnsi="宋体" w:eastAsia="宋体" w:cs="宋体"/>
          <w:color w:val="auto"/>
          <w:szCs w:val="21"/>
        </w:rPr>
        <w:t>响应文件提交</w:t>
      </w:r>
      <w:r>
        <w:rPr>
          <w:color w:val="auto"/>
        </w:rPr>
        <w:tab/>
      </w:r>
      <w:r>
        <w:rPr>
          <w:color w:val="auto"/>
        </w:rPr>
        <w:fldChar w:fldCharType="begin"/>
      </w:r>
      <w:r>
        <w:rPr>
          <w:color w:val="auto"/>
        </w:rPr>
        <w:instrText xml:space="preserve"> PAGEREF _Toc12091 \h </w:instrText>
      </w:r>
      <w:r>
        <w:rPr>
          <w:color w:val="auto"/>
        </w:rPr>
        <w:fldChar w:fldCharType="separate"/>
      </w:r>
      <w:r>
        <w:rPr>
          <w:color w:val="auto"/>
        </w:rPr>
        <w:t>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_Toc24244 </w:instrText>
      </w:r>
      <w:r>
        <w:rPr>
          <w:rFonts w:hint="eastAsia" w:asciiTheme="minorEastAsia" w:hAnsiTheme="minorEastAsia" w:eastAsiaTheme="minorEastAsia" w:cstheme="minorEastAsia"/>
          <w:color w:val="auto"/>
          <w:szCs w:val="21"/>
        </w:rPr>
        <w:fldChar w:fldCharType="separate"/>
      </w:r>
      <w:r>
        <w:rPr>
          <w:rFonts w:eastAsia="宋体"/>
          <w:color w:val="auto"/>
          <w:szCs w:val="21"/>
        </w:rPr>
        <w:t xml:space="preserve">五、 </w:t>
      </w:r>
      <w:r>
        <w:rPr>
          <w:rFonts w:hint="eastAsia" w:ascii="宋体" w:hAnsi="宋体" w:eastAsia="宋体" w:cs="宋体"/>
          <w:color w:val="auto"/>
          <w:szCs w:val="21"/>
        </w:rPr>
        <w:t>开启</w:t>
      </w:r>
      <w:r>
        <w:rPr>
          <w:color w:val="auto"/>
        </w:rPr>
        <w:tab/>
      </w:r>
      <w:r>
        <w:rPr>
          <w:color w:val="auto"/>
        </w:rPr>
        <w:fldChar w:fldCharType="begin"/>
      </w:r>
      <w:r>
        <w:rPr>
          <w:color w:val="auto"/>
        </w:rPr>
        <w:instrText xml:space="preserve"> PAGEREF _Toc24244 \h </w:instrText>
      </w:r>
      <w:r>
        <w:rPr>
          <w:color w:val="auto"/>
        </w:rPr>
        <w:fldChar w:fldCharType="separate"/>
      </w:r>
      <w:r>
        <w:rPr>
          <w:color w:val="auto"/>
        </w:rPr>
        <w:t>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_Toc8472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六、 </w:t>
      </w:r>
      <w:r>
        <w:rPr>
          <w:rFonts w:hint="eastAsia" w:ascii="宋体" w:hAnsi="宋体" w:eastAsia="宋体" w:cs="宋体"/>
          <w:color w:val="auto"/>
          <w:szCs w:val="21"/>
        </w:rPr>
        <w:t>公告期限</w:t>
      </w:r>
      <w:r>
        <w:rPr>
          <w:color w:val="auto"/>
        </w:rPr>
        <w:tab/>
      </w:r>
      <w:r>
        <w:rPr>
          <w:color w:val="auto"/>
        </w:rPr>
        <w:fldChar w:fldCharType="begin"/>
      </w:r>
      <w:r>
        <w:rPr>
          <w:color w:val="auto"/>
        </w:rPr>
        <w:instrText xml:space="preserve"> PAGEREF _Toc8472 \h </w:instrText>
      </w:r>
      <w:r>
        <w:rPr>
          <w:color w:val="auto"/>
        </w:rPr>
        <w:fldChar w:fldCharType="separate"/>
      </w:r>
      <w:r>
        <w:rPr>
          <w:color w:val="auto"/>
        </w:rPr>
        <w:t>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_Toc17455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七、 </w:t>
      </w:r>
      <w:r>
        <w:rPr>
          <w:rFonts w:hint="eastAsia" w:ascii="宋体" w:hAnsi="宋体" w:eastAsia="宋体" w:cs="宋体"/>
          <w:color w:val="auto"/>
          <w:szCs w:val="21"/>
        </w:rPr>
        <w:t>其他补充事宜</w:t>
      </w:r>
      <w:r>
        <w:rPr>
          <w:color w:val="auto"/>
        </w:rPr>
        <w:tab/>
      </w:r>
      <w:r>
        <w:rPr>
          <w:color w:val="auto"/>
        </w:rPr>
        <w:fldChar w:fldCharType="begin"/>
      </w:r>
      <w:r>
        <w:rPr>
          <w:color w:val="auto"/>
        </w:rPr>
        <w:instrText xml:space="preserve"> PAGEREF _Toc17455 \h </w:instrText>
      </w:r>
      <w:r>
        <w:rPr>
          <w:color w:val="auto"/>
        </w:rPr>
        <w:fldChar w:fldCharType="separate"/>
      </w:r>
      <w:r>
        <w:rPr>
          <w:color w:val="auto"/>
        </w:rPr>
        <w:t>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_Toc17942 </w:instrText>
      </w:r>
      <w:r>
        <w:rPr>
          <w:rFonts w:hint="eastAsia" w:asciiTheme="minorEastAsia" w:hAnsiTheme="minorEastAsia" w:eastAsiaTheme="minorEastAsia" w:cstheme="minorEastAsia"/>
          <w:color w:val="auto"/>
          <w:szCs w:val="21"/>
        </w:rPr>
        <w:fldChar w:fldCharType="separate"/>
      </w:r>
      <w:r>
        <w:rPr>
          <w:rFonts w:ascii="宋体" w:hAnsi="宋体" w:eastAsia="宋体" w:cs="宋体"/>
          <w:color w:val="auto"/>
          <w:szCs w:val="21"/>
        </w:rPr>
        <w:t xml:space="preserve">八、 </w:t>
      </w:r>
      <w:r>
        <w:rPr>
          <w:rFonts w:hint="eastAsia" w:ascii="宋体" w:hAnsi="宋体" w:eastAsia="宋体" w:cs="宋体"/>
          <w:color w:val="auto"/>
          <w:szCs w:val="21"/>
        </w:rPr>
        <w:t>凡对本次采购提出询问，请按以下方式联系</w:t>
      </w:r>
      <w:r>
        <w:rPr>
          <w:color w:val="auto"/>
        </w:rPr>
        <w:tab/>
      </w:r>
      <w:r>
        <w:rPr>
          <w:color w:val="auto"/>
        </w:rPr>
        <w:fldChar w:fldCharType="begin"/>
      </w:r>
      <w:r>
        <w:rPr>
          <w:color w:val="auto"/>
        </w:rPr>
        <w:instrText xml:space="preserve"> PAGEREF _Toc17942 \h </w:instrText>
      </w:r>
      <w:r>
        <w:rPr>
          <w:color w:val="auto"/>
        </w:rPr>
        <w:fldChar w:fldCharType="separate"/>
      </w:r>
      <w:r>
        <w:rPr>
          <w:color w:val="auto"/>
        </w:rPr>
        <w:t>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_Toc16655 </w:instrText>
      </w:r>
      <w:r>
        <w:rPr>
          <w:rFonts w:hint="eastAsia" w:asciiTheme="minorEastAsia" w:hAnsiTheme="minorEastAsia" w:eastAsiaTheme="minorEastAsia" w:cstheme="minorEastAsia"/>
          <w:color w:val="auto"/>
          <w:szCs w:val="21"/>
        </w:rPr>
        <w:fldChar w:fldCharType="separate"/>
      </w:r>
      <w:r>
        <w:rPr>
          <w:rFonts w:asciiTheme="minorEastAsia" w:hAnsiTheme="minorEastAsia" w:eastAsiaTheme="minorEastAsia" w:cstheme="minorEastAsia"/>
          <w:color w:val="auto"/>
          <w:szCs w:val="21"/>
        </w:rPr>
        <w:t xml:space="preserve">九、 </w:t>
      </w:r>
      <w:r>
        <w:rPr>
          <w:rFonts w:hint="eastAsia" w:asciiTheme="minorEastAsia" w:hAnsiTheme="minorEastAsia" w:eastAsiaTheme="minorEastAsia" w:cstheme="minorEastAsia"/>
          <w:color w:val="auto"/>
          <w:szCs w:val="21"/>
        </w:rPr>
        <w:t>注意事项</w:t>
      </w:r>
      <w:r>
        <w:rPr>
          <w:color w:val="auto"/>
        </w:rPr>
        <w:tab/>
      </w:r>
      <w:r>
        <w:rPr>
          <w:color w:val="auto"/>
        </w:rPr>
        <w:fldChar w:fldCharType="begin"/>
      </w:r>
      <w:r>
        <w:rPr>
          <w:color w:val="auto"/>
        </w:rPr>
        <w:instrText xml:space="preserve"> PAGEREF _Toc16655 \h </w:instrText>
      </w:r>
      <w:r>
        <w:rPr>
          <w:color w:val="auto"/>
        </w:rPr>
        <w:fldChar w:fldCharType="separate"/>
      </w:r>
      <w:r>
        <w:rPr>
          <w:color w:val="auto"/>
        </w:rPr>
        <w:t>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2"/>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_Toc18311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36"/>
        </w:rPr>
        <w:t xml:space="preserve">第二章 </w:t>
      </w:r>
      <w:r>
        <w:rPr>
          <w:rFonts w:hint="eastAsia" w:asciiTheme="minorEastAsia" w:hAnsiTheme="minorEastAsia" w:eastAsiaTheme="minorEastAsia" w:cstheme="minorEastAsia"/>
          <w:color w:val="auto"/>
          <w:szCs w:val="36"/>
        </w:rPr>
        <w:t>供应商须知</w:t>
      </w:r>
      <w:r>
        <w:rPr>
          <w:color w:val="auto"/>
        </w:rPr>
        <w:tab/>
      </w:r>
      <w:r>
        <w:rPr>
          <w:color w:val="auto"/>
        </w:rPr>
        <w:fldChar w:fldCharType="begin"/>
      </w:r>
      <w:r>
        <w:rPr>
          <w:color w:val="auto"/>
        </w:rPr>
        <w:instrText xml:space="preserve"> PAGEREF _Toc18311 \h </w:instrText>
      </w:r>
      <w:r>
        <w:rPr>
          <w:color w:val="auto"/>
        </w:rPr>
        <w:fldChar w:fldCharType="separate"/>
      </w:r>
      <w:r>
        <w:rPr>
          <w:color w:val="auto"/>
        </w:rPr>
        <w:t>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_Toc8618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《供应商须知前附表》</w:t>
      </w:r>
      <w:r>
        <w:rPr>
          <w:color w:val="auto"/>
        </w:rPr>
        <w:tab/>
      </w:r>
      <w:r>
        <w:rPr>
          <w:color w:val="auto"/>
        </w:rPr>
        <w:fldChar w:fldCharType="begin"/>
      </w:r>
      <w:r>
        <w:rPr>
          <w:color w:val="auto"/>
        </w:rPr>
        <w:instrText xml:space="preserve"> PAGEREF _Toc8618 \h </w:instrText>
      </w:r>
      <w:r>
        <w:rPr>
          <w:color w:val="auto"/>
        </w:rPr>
        <w:fldChar w:fldCharType="separate"/>
      </w:r>
      <w:r>
        <w:rPr>
          <w:color w:val="auto"/>
        </w:rPr>
        <w:t>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_Toc3980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供应商须知</w:t>
      </w:r>
      <w:r>
        <w:rPr>
          <w:color w:val="auto"/>
        </w:rPr>
        <w:tab/>
      </w:r>
      <w:r>
        <w:rPr>
          <w:color w:val="auto"/>
        </w:rPr>
        <w:fldChar w:fldCharType="begin"/>
      </w:r>
      <w:r>
        <w:rPr>
          <w:color w:val="auto"/>
        </w:rPr>
        <w:instrText xml:space="preserve"> PAGEREF _Toc3980 \h </w:instrText>
      </w:r>
      <w:r>
        <w:rPr>
          <w:color w:val="auto"/>
        </w:rPr>
        <w:fldChar w:fldCharType="separate"/>
      </w:r>
      <w:r>
        <w:rPr>
          <w:color w:val="auto"/>
        </w:rPr>
        <w:t>11</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_Toc16949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一、 </w:t>
      </w:r>
      <w:r>
        <w:rPr>
          <w:rFonts w:hint="eastAsia" w:asciiTheme="minorEastAsia" w:hAnsiTheme="minorEastAsia" w:eastAsiaTheme="minorEastAsia" w:cstheme="minorEastAsia"/>
          <w:color w:val="auto"/>
          <w:szCs w:val="21"/>
        </w:rPr>
        <w:t>总则</w:t>
      </w:r>
      <w:r>
        <w:rPr>
          <w:color w:val="auto"/>
        </w:rPr>
        <w:tab/>
      </w:r>
      <w:r>
        <w:rPr>
          <w:color w:val="auto"/>
        </w:rPr>
        <w:fldChar w:fldCharType="begin"/>
      </w:r>
      <w:r>
        <w:rPr>
          <w:color w:val="auto"/>
        </w:rPr>
        <w:instrText xml:space="preserve"> PAGEREF _Toc16949 \h </w:instrText>
      </w:r>
      <w:r>
        <w:rPr>
          <w:color w:val="auto"/>
        </w:rPr>
        <w:fldChar w:fldCharType="separate"/>
      </w:r>
      <w:r>
        <w:rPr>
          <w:color w:val="auto"/>
        </w:rPr>
        <w:t>12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_Toc8635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1、 </w:t>
      </w:r>
      <w:r>
        <w:rPr>
          <w:rFonts w:hint="eastAsia" w:asciiTheme="minorEastAsia" w:hAnsiTheme="minorEastAsia" w:eastAsiaTheme="minorEastAsia" w:cstheme="minorEastAsia"/>
          <w:color w:val="auto"/>
          <w:szCs w:val="21"/>
        </w:rPr>
        <w:t>适用法律及范围</w:t>
      </w:r>
      <w:r>
        <w:rPr>
          <w:color w:val="auto"/>
        </w:rPr>
        <w:tab/>
      </w:r>
      <w:r>
        <w:rPr>
          <w:color w:val="auto"/>
        </w:rPr>
        <w:fldChar w:fldCharType="begin"/>
      </w:r>
      <w:r>
        <w:rPr>
          <w:color w:val="auto"/>
        </w:rPr>
        <w:instrText xml:space="preserve"> PAGEREF _Toc8635 \h </w:instrText>
      </w:r>
      <w:r>
        <w:rPr>
          <w:color w:val="auto"/>
        </w:rPr>
        <w:fldChar w:fldCharType="separate"/>
      </w:r>
      <w:r>
        <w:rPr>
          <w:color w:val="auto"/>
        </w:rPr>
        <w:t>12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_Toc5979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2、 </w:t>
      </w:r>
      <w:r>
        <w:rPr>
          <w:rFonts w:hint="eastAsia" w:asciiTheme="minorEastAsia" w:hAnsiTheme="minorEastAsia" w:eastAsiaTheme="minorEastAsia" w:cstheme="minorEastAsia"/>
          <w:color w:val="auto"/>
          <w:szCs w:val="21"/>
        </w:rPr>
        <w:t>定义</w:t>
      </w:r>
      <w:r>
        <w:rPr>
          <w:color w:val="auto"/>
        </w:rPr>
        <w:tab/>
      </w:r>
      <w:r>
        <w:rPr>
          <w:color w:val="auto"/>
        </w:rPr>
        <w:fldChar w:fldCharType="begin"/>
      </w:r>
      <w:r>
        <w:rPr>
          <w:color w:val="auto"/>
        </w:rPr>
        <w:instrText xml:space="preserve"> PAGEREF _Toc5979 \h </w:instrText>
      </w:r>
      <w:r>
        <w:rPr>
          <w:color w:val="auto"/>
        </w:rPr>
        <w:fldChar w:fldCharType="separate"/>
      </w:r>
      <w:r>
        <w:rPr>
          <w:color w:val="auto"/>
        </w:rPr>
        <w:t>12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_Toc18899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3、 </w:t>
      </w:r>
      <w:r>
        <w:rPr>
          <w:rFonts w:hint="eastAsia" w:asciiTheme="minorEastAsia" w:hAnsiTheme="minorEastAsia" w:eastAsiaTheme="minorEastAsia" w:cstheme="minorEastAsia"/>
          <w:snapToGrid w:val="0"/>
          <w:color w:val="auto"/>
          <w:kern w:val="0"/>
          <w:szCs w:val="21"/>
          <w:lang w:val="zh-CN"/>
        </w:rPr>
        <w:t>工程、货物及服务</w:t>
      </w:r>
      <w:r>
        <w:rPr>
          <w:color w:val="auto"/>
        </w:rPr>
        <w:tab/>
      </w:r>
      <w:r>
        <w:rPr>
          <w:color w:val="auto"/>
        </w:rPr>
        <w:fldChar w:fldCharType="begin"/>
      </w:r>
      <w:r>
        <w:rPr>
          <w:color w:val="auto"/>
        </w:rPr>
        <w:instrText xml:space="preserve"> PAGEREF _Toc18899 \h </w:instrText>
      </w:r>
      <w:r>
        <w:rPr>
          <w:color w:val="auto"/>
        </w:rPr>
        <w:fldChar w:fldCharType="separate"/>
      </w:r>
      <w:r>
        <w:rPr>
          <w:color w:val="auto"/>
        </w:rPr>
        <w:t>12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_Toc18584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4、 </w:t>
      </w:r>
      <w:r>
        <w:rPr>
          <w:rFonts w:hint="eastAsia" w:asciiTheme="minorEastAsia" w:hAnsiTheme="minorEastAsia" w:eastAsiaTheme="minorEastAsia" w:cstheme="minorEastAsia"/>
          <w:color w:val="auto"/>
          <w:szCs w:val="21"/>
        </w:rPr>
        <w:t>费用</w:t>
      </w:r>
      <w:r>
        <w:rPr>
          <w:color w:val="auto"/>
        </w:rPr>
        <w:tab/>
      </w:r>
      <w:r>
        <w:rPr>
          <w:color w:val="auto"/>
        </w:rPr>
        <w:fldChar w:fldCharType="begin"/>
      </w:r>
      <w:r>
        <w:rPr>
          <w:color w:val="auto"/>
        </w:rPr>
        <w:instrText xml:space="preserve"> PAGEREF _Toc18584 \h </w:instrText>
      </w:r>
      <w:r>
        <w:rPr>
          <w:color w:val="auto"/>
        </w:rPr>
        <w:fldChar w:fldCharType="separate"/>
      </w:r>
      <w:r>
        <w:rPr>
          <w:color w:val="auto"/>
        </w:rPr>
        <w:t>12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_Toc22834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二、 </w:t>
      </w:r>
      <w:r>
        <w:rPr>
          <w:rFonts w:hint="eastAsia" w:asciiTheme="minorEastAsia" w:hAnsiTheme="minorEastAsia" w:eastAsiaTheme="minorEastAsia" w:cstheme="minorEastAsia"/>
          <w:color w:val="auto"/>
          <w:szCs w:val="21"/>
        </w:rPr>
        <w:t>竞争性磋商采购文件</w:t>
      </w:r>
      <w:r>
        <w:rPr>
          <w:color w:val="auto"/>
        </w:rPr>
        <w:tab/>
      </w:r>
      <w:r>
        <w:rPr>
          <w:color w:val="auto"/>
        </w:rPr>
        <w:fldChar w:fldCharType="begin"/>
      </w:r>
      <w:r>
        <w:rPr>
          <w:color w:val="auto"/>
        </w:rPr>
        <w:instrText xml:space="preserve"> PAGEREF _Toc22834 \h </w:instrText>
      </w:r>
      <w:r>
        <w:rPr>
          <w:color w:val="auto"/>
        </w:rPr>
        <w:fldChar w:fldCharType="separate"/>
      </w:r>
      <w:r>
        <w:rPr>
          <w:color w:val="auto"/>
        </w:rPr>
        <w:t>13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_Toc21082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5、 </w:t>
      </w:r>
      <w:r>
        <w:rPr>
          <w:rFonts w:hint="eastAsia" w:asciiTheme="minorEastAsia" w:hAnsiTheme="minorEastAsia" w:eastAsiaTheme="minorEastAsia" w:cstheme="minorEastAsia"/>
          <w:color w:val="auto"/>
          <w:szCs w:val="21"/>
        </w:rPr>
        <w:t>竞争性磋商采购文件的构成</w:t>
      </w:r>
      <w:r>
        <w:rPr>
          <w:color w:val="auto"/>
        </w:rPr>
        <w:tab/>
      </w:r>
      <w:r>
        <w:rPr>
          <w:color w:val="auto"/>
        </w:rPr>
        <w:fldChar w:fldCharType="begin"/>
      </w:r>
      <w:r>
        <w:rPr>
          <w:color w:val="auto"/>
        </w:rPr>
        <w:instrText xml:space="preserve"> PAGEREF _Toc21082 \h </w:instrText>
      </w:r>
      <w:r>
        <w:rPr>
          <w:color w:val="auto"/>
        </w:rPr>
        <w:fldChar w:fldCharType="separate"/>
      </w:r>
      <w:r>
        <w:rPr>
          <w:color w:val="auto"/>
        </w:rPr>
        <w:t>13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_Toc12527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6、 </w:t>
      </w:r>
      <w:r>
        <w:rPr>
          <w:rFonts w:hint="eastAsia" w:asciiTheme="minorEastAsia" w:hAnsiTheme="minorEastAsia" w:eastAsiaTheme="minorEastAsia" w:cstheme="minorEastAsia"/>
          <w:snapToGrid w:val="0"/>
          <w:color w:val="auto"/>
          <w:kern w:val="0"/>
          <w:szCs w:val="21"/>
          <w:lang w:val="zh-CN"/>
        </w:rPr>
        <w:t>竞争性磋商采购文件的澄清</w:t>
      </w:r>
      <w:r>
        <w:rPr>
          <w:color w:val="auto"/>
        </w:rPr>
        <w:tab/>
      </w:r>
      <w:r>
        <w:rPr>
          <w:color w:val="auto"/>
        </w:rPr>
        <w:fldChar w:fldCharType="begin"/>
      </w:r>
      <w:r>
        <w:rPr>
          <w:color w:val="auto"/>
        </w:rPr>
        <w:instrText xml:space="preserve"> PAGEREF _Toc12527 \h </w:instrText>
      </w:r>
      <w:r>
        <w:rPr>
          <w:color w:val="auto"/>
        </w:rPr>
        <w:fldChar w:fldCharType="separate"/>
      </w:r>
      <w:r>
        <w:rPr>
          <w:color w:val="auto"/>
        </w:rPr>
        <w:t>13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_Toc5685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7、 </w:t>
      </w:r>
      <w:r>
        <w:rPr>
          <w:rFonts w:hint="eastAsia" w:asciiTheme="minorEastAsia" w:hAnsiTheme="minorEastAsia" w:eastAsiaTheme="minorEastAsia" w:cstheme="minorEastAsia"/>
          <w:snapToGrid w:val="0"/>
          <w:color w:val="auto"/>
          <w:kern w:val="0"/>
          <w:szCs w:val="21"/>
          <w:lang w:val="zh-CN"/>
        </w:rPr>
        <w:t>竞争性磋商采购文件的修改</w:t>
      </w:r>
      <w:r>
        <w:rPr>
          <w:color w:val="auto"/>
        </w:rPr>
        <w:tab/>
      </w:r>
      <w:r>
        <w:rPr>
          <w:color w:val="auto"/>
        </w:rPr>
        <w:fldChar w:fldCharType="begin"/>
      </w:r>
      <w:r>
        <w:rPr>
          <w:color w:val="auto"/>
        </w:rPr>
        <w:instrText xml:space="preserve"> PAGEREF _Toc5685 \h </w:instrText>
      </w:r>
      <w:r>
        <w:rPr>
          <w:color w:val="auto"/>
        </w:rPr>
        <w:fldChar w:fldCharType="separate"/>
      </w:r>
      <w:r>
        <w:rPr>
          <w:color w:val="auto"/>
        </w:rPr>
        <w:t>14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_Toc1474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三、 </w:t>
      </w:r>
      <w:r>
        <w:rPr>
          <w:rFonts w:hint="eastAsia" w:asciiTheme="minorEastAsia" w:hAnsiTheme="minorEastAsia" w:eastAsiaTheme="minorEastAsia" w:cstheme="minorEastAsia"/>
          <w:color w:val="auto"/>
          <w:szCs w:val="21"/>
        </w:rPr>
        <w:t>竞争性磋商响应文件</w:t>
      </w:r>
      <w:r>
        <w:rPr>
          <w:color w:val="auto"/>
        </w:rPr>
        <w:tab/>
      </w:r>
      <w:r>
        <w:rPr>
          <w:color w:val="auto"/>
        </w:rPr>
        <w:fldChar w:fldCharType="begin"/>
      </w:r>
      <w:r>
        <w:rPr>
          <w:color w:val="auto"/>
        </w:rPr>
        <w:instrText xml:space="preserve"> PAGEREF _Toc1474 \h </w:instrText>
      </w:r>
      <w:r>
        <w:rPr>
          <w:color w:val="auto"/>
        </w:rPr>
        <w:fldChar w:fldCharType="separate"/>
      </w:r>
      <w:r>
        <w:rPr>
          <w:color w:val="auto"/>
        </w:rPr>
        <w:t>14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_Toc12718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8、 </w:t>
      </w:r>
      <w:r>
        <w:rPr>
          <w:rFonts w:hint="eastAsia" w:asciiTheme="minorEastAsia" w:hAnsiTheme="minorEastAsia" w:eastAsiaTheme="minorEastAsia" w:cstheme="minorEastAsia"/>
          <w:snapToGrid w:val="0"/>
          <w:color w:val="auto"/>
          <w:kern w:val="0"/>
          <w:szCs w:val="21"/>
          <w:lang w:val="zh-CN"/>
        </w:rPr>
        <w:t>语言和计量单位</w:t>
      </w:r>
      <w:r>
        <w:rPr>
          <w:color w:val="auto"/>
        </w:rPr>
        <w:tab/>
      </w:r>
      <w:r>
        <w:rPr>
          <w:color w:val="auto"/>
        </w:rPr>
        <w:fldChar w:fldCharType="begin"/>
      </w:r>
      <w:r>
        <w:rPr>
          <w:color w:val="auto"/>
        </w:rPr>
        <w:instrText xml:space="preserve"> PAGEREF _Toc12718 \h </w:instrText>
      </w:r>
      <w:r>
        <w:rPr>
          <w:color w:val="auto"/>
        </w:rPr>
        <w:fldChar w:fldCharType="separate"/>
      </w:r>
      <w:r>
        <w:rPr>
          <w:color w:val="auto"/>
        </w:rPr>
        <w:t>14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_Toc29725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9、 </w:t>
      </w:r>
      <w:r>
        <w:rPr>
          <w:rFonts w:hint="eastAsia" w:asciiTheme="minorEastAsia" w:hAnsiTheme="minorEastAsia" w:eastAsiaTheme="minorEastAsia" w:cstheme="minorEastAsia"/>
          <w:snapToGrid w:val="0"/>
          <w:color w:val="auto"/>
          <w:kern w:val="0"/>
          <w:szCs w:val="21"/>
          <w:lang w:val="zh-CN"/>
        </w:rPr>
        <w:t>竞争性磋商响应文件的构成</w:t>
      </w:r>
      <w:r>
        <w:rPr>
          <w:color w:val="auto"/>
        </w:rPr>
        <w:tab/>
      </w:r>
      <w:r>
        <w:rPr>
          <w:color w:val="auto"/>
        </w:rPr>
        <w:fldChar w:fldCharType="begin"/>
      </w:r>
      <w:r>
        <w:rPr>
          <w:color w:val="auto"/>
        </w:rPr>
        <w:instrText xml:space="preserve"> PAGEREF _Toc29725 \h </w:instrText>
      </w:r>
      <w:r>
        <w:rPr>
          <w:color w:val="auto"/>
        </w:rPr>
        <w:fldChar w:fldCharType="separate"/>
      </w:r>
      <w:r>
        <w:rPr>
          <w:color w:val="auto"/>
        </w:rPr>
        <w:t>14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_Toc30825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10、 </w:t>
      </w:r>
      <w:r>
        <w:rPr>
          <w:rFonts w:hint="eastAsia" w:asciiTheme="minorEastAsia" w:hAnsiTheme="minorEastAsia" w:eastAsiaTheme="minorEastAsia" w:cstheme="minorEastAsia"/>
          <w:snapToGrid w:val="0"/>
          <w:color w:val="auto"/>
          <w:kern w:val="0"/>
          <w:szCs w:val="21"/>
          <w:lang w:val="zh-CN"/>
        </w:rPr>
        <w:t>竞争性磋商响应文件的编制</w:t>
      </w:r>
      <w:r>
        <w:rPr>
          <w:color w:val="auto"/>
        </w:rPr>
        <w:tab/>
      </w:r>
      <w:r>
        <w:rPr>
          <w:color w:val="auto"/>
        </w:rPr>
        <w:fldChar w:fldCharType="begin"/>
      </w:r>
      <w:r>
        <w:rPr>
          <w:color w:val="auto"/>
        </w:rPr>
        <w:instrText xml:space="preserve"> PAGEREF _Toc30825 \h </w:instrText>
      </w:r>
      <w:r>
        <w:rPr>
          <w:color w:val="auto"/>
        </w:rPr>
        <w:fldChar w:fldCharType="separate"/>
      </w:r>
      <w:r>
        <w:rPr>
          <w:color w:val="auto"/>
        </w:rPr>
        <w:t>14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_Toc28198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11、 </w:t>
      </w:r>
      <w:r>
        <w:rPr>
          <w:rFonts w:hint="eastAsia" w:asciiTheme="minorEastAsia" w:hAnsiTheme="minorEastAsia" w:eastAsiaTheme="minorEastAsia" w:cstheme="minorEastAsia"/>
          <w:snapToGrid w:val="0"/>
          <w:color w:val="auto"/>
          <w:kern w:val="0"/>
          <w:szCs w:val="21"/>
          <w:lang w:val="zh-CN"/>
        </w:rPr>
        <w:t>磋商报价</w:t>
      </w:r>
      <w:r>
        <w:rPr>
          <w:color w:val="auto"/>
        </w:rPr>
        <w:tab/>
      </w:r>
      <w:r>
        <w:rPr>
          <w:color w:val="auto"/>
        </w:rPr>
        <w:fldChar w:fldCharType="begin"/>
      </w:r>
      <w:r>
        <w:rPr>
          <w:color w:val="auto"/>
        </w:rPr>
        <w:instrText xml:space="preserve"> PAGEREF _Toc28198 \h </w:instrText>
      </w:r>
      <w:r>
        <w:rPr>
          <w:color w:val="auto"/>
        </w:rPr>
        <w:fldChar w:fldCharType="separate"/>
      </w:r>
      <w:r>
        <w:rPr>
          <w:color w:val="auto"/>
        </w:rPr>
        <w:t>15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_Toc5312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12、 </w:t>
      </w:r>
      <w:r>
        <w:rPr>
          <w:rFonts w:hint="eastAsia" w:asciiTheme="minorEastAsia" w:hAnsiTheme="minorEastAsia" w:eastAsiaTheme="minorEastAsia" w:cstheme="minorEastAsia"/>
          <w:snapToGrid w:val="0"/>
          <w:color w:val="auto"/>
          <w:kern w:val="0"/>
          <w:szCs w:val="21"/>
          <w:lang w:val="zh-CN"/>
        </w:rPr>
        <w:t>备选方案</w:t>
      </w:r>
      <w:r>
        <w:rPr>
          <w:color w:val="auto"/>
        </w:rPr>
        <w:tab/>
      </w:r>
      <w:r>
        <w:rPr>
          <w:color w:val="auto"/>
        </w:rPr>
        <w:fldChar w:fldCharType="begin"/>
      </w:r>
      <w:r>
        <w:rPr>
          <w:color w:val="auto"/>
        </w:rPr>
        <w:instrText xml:space="preserve"> PAGEREF _Toc5312 \h </w:instrText>
      </w:r>
      <w:r>
        <w:rPr>
          <w:color w:val="auto"/>
        </w:rPr>
        <w:fldChar w:fldCharType="separate"/>
      </w:r>
      <w:r>
        <w:rPr>
          <w:color w:val="auto"/>
        </w:rPr>
        <w:t>15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_Toc6770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13、 </w:t>
      </w:r>
      <w:r>
        <w:rPr>
          <w:rFonts w:hint="eastAsia" w:asciiTheme="minorEastAsia" w:hAnsiTheme="minorEastAsia" w:eastAsiaTheme="minorEastAsia" w:cstheme="minorEastAsia"/>
          <w:snapToGrid w:val="0"/>
          <w:color w:val="auto"/>
          <w:kern w:val="0"/>
          <w:szCs w:val="21"/>
          <w:lang w:val="zh-CN"/>
        </w:rPr>
        <w:t>联合体</w:t>
      </w:r>
      <w:r>
        <w:rPr>
          <w:color w:val="auto"/>
        </w:rPr>
        <w:tab/>
      </w:r>
      <w:r>
        <w:rPr>
          <w:color w:val="auto"/>
        </w:rPr>
        <w:fldChar w:fldCharType="begin"/>
      </w:r>
      <w:r>
        <w:rPr>
          <w:color w:val="auto"/>
        </w:rPr>
        <w:instrText xml:space="preserve"> PAGEREF _Toc6770 \h </w:instrText>
      </w:r>
      <w:r>
        <w:rPr>
          <w:color w:val="auto"/>
        </w:rPr>
        <w:fldChar w:fldCharType="separate"/>
      </w:r>
      <w:r>
        <w:rPr>
          <w:color w:val="auto"/>
        </w:rPr>
        <w:t>15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_Toc10759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14、 </w:t>
      </w:r>
      <w:r>
        <w:rPr>
          <w:rFonts w:hint="eastAsia" w:asciiTheme="minorEastAsia" w:hAnsiTheme="minorEastAsia" w:eastAsiaTheme="minorEastAsia" w:cstheme="minorEastAsia"/>
          <w:snapToGrid w:val="0"/>
          <w:color w:val="auto"/>
          <w:kern w:val="0"/>
          <w:szCs w:val="21"/>
          <w:lang w:val="zh-CN"/>
        </w:rPr>
        <w:t>供应商资格证明文件</w:t>
      </w:r>
      <w:r>
        <w:rPr>
          <w:color w:val="auto"/>
        </w:rPr>
        <w:tab/>
      </w:r>
      <w:r>
        <w:rPr>
          <w:color w:val="auto"/>
        </w:rPr>
        <w:fldChar w:fldCharType="begin"/>
      </w:r>
      <w:r>
        <w:rPr>
          <w:color w:val="auto"/>
        </w:rPr>
        <w:instrText xml:space="preserve"> PAGEREF _Toc10759 \h </w:instrText>
      </w:r>
      <w:r>
        <w:rPr>
          <w:color w:val="auto"/>
        </w:rPr>
        <w:fldChar w:fldCharType="separate"/>
      </w:r>
      <w:r>
        <w:rPr>
          <w:color w:val="auto"/>
        </w:rPr>
        <w:t>15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_Toc12726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15、 </w:t>
      </w:r>
      <w:r>
        <w:rPr>
          <w:rFonts w:hint="eastAsia" w:asciiTheme="minorEastAsia" w:hAnsiTheme="minorEastAsia" w:eastAsiaTheme="minorEastAsia" w:cstheme="minorEastAsia"/>
          <w:snapToGrid w:val="0"/>
          <w:color w:val="auto"/>
          <w:kern w:val="0"/>
          <w:szCs w:val="21"/>
          <w:lang w:val="zh-CN"/>
        </w:rPr>
        <w:t>证明报价内容、服务合格性和符合竞争性磋商采购文件规定的文件</w:t>
      </w:r>
      <w:r>
        <w:rPr>
          <w:color w:val="auto"/>
        </w:rPr>
        <w:tab/>
      </w:r>
      <w:r>
        <w:rPr>
          <w:color w:val="auto"/>
        </w:rPr>
        <w:fldChar w:fldCharType="begin"/>
      </w:r>
      <w:r>
        <w:rPr>
          <w:color w:val="auto"/>
        </w:rPr>
        <w:instrText xml:space="preserve"> PAGEREF _Toc12726 \h </w:instrText>
      </w:r>
      <w:r>
        <w:rPr>
          <w:color w:val="auto"/>
        </w:rPr>
        <w:fldChar w:fldCharType="separate"/>
      </w:r>
      <w:r>
        <w:rPr>
          <w:color w:val="auto"/>
        </w:rPr>
        <w:t>16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_Toc28176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16、 </w:t>
      </w:r>
      <w:r>
        <w:rPr>
          <w:rFonts w:hint="eastAsia" w:asciiTheme="minorEastAsia" w:hAnsiTheme="minorEastAsia" w:eastAsiaTheme="minorEastAsia" w:cstheme="minorEastAsia"/>
          <w:snapToGrid w:val="0"/>
          <w:color w:val="auto"/>
          <w:kern w:val="0"/>
          <w:szCs w:val="21"/>
          <w:lang w:val="zh-CN"/>
        </w:rPr>
        <w:t>磋商保证金</w:t>
      </w:r>
      <w:r>
        <w:rPr>
          <w:color w:val="auto"/>
        </w:rPr>
        <w:tab/>
      </w:r>
      <w:r>
        <w:rPr>
          <w:color w:val="auto"/>
        </w:rPr>
        <w:fldChar w:fldCharType="begin"/>
      </w:r>
      <w:r>
        <w:rPr>
          <w:color w:val="auto"/>
        </w:rPr>
        <w:instrText xml:space="preserve"> PAGEREF _Toc28176 \h </w:instrText>
      </w:r>
      <w:r>
        <w:rPr>
          <w:color w:val="auto"/>
        </w:rPr>
        <w:fldChar w:fldCharType="separate"/>
      </w:r>
      <w:r>
        <w:rPr>
          <w:color w:val="auto"/>
        </w:rPr>
        <w:t>16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_Toc6848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17、 </w:t>
      </w:r>
      <w:r>
        <w:rPr>
          <w:rFonts w:hint="eastAsia" w:asciiTheme="minorEastAsia" w:hAnsiTheme="minorEastAsia" w:eastAsiaTheme="minorEastAsia" w:cstheme="minorEastAsia"/>
          <w:snapToGrid w:val="0"/>
          <w:color w:val="auto"/>
          <w:kern w:val="0"/>
          <w:szCs w:val="21"/>
          <w:lang w:val="zh-CN"/>
        </w:rPr>
        <w:t>磋商有效期</w:t>
      </w:r>
      <w:r>
        <w:rPr>
          <w:color w:val="auto"/>
        </w:rPr>
        <w:tab/>
      </w:r>
      <w:r>
        <w:rPr>
          <w:color w:val="auto"/>
        </w:rPr>
        <w:fldChar w:fldCharType="begin"/>
      </w:r>
      <w:r>
        <w:rPr>
          <w:color w:val="auto"/>
        </w:rPr>
        <w:instrText xml:space="preserve"> PAGEREF _Toc6848 \h </w:instrText>
      </w:r>
      <w:r>
        <w:rPr>
          <w:color w:val="auto"/>
        </w:rPr>
        <w:fldChar w:fldCharType="separate"/>
      </w:r>
      <w:r>
        <w:rPr>
          <w:color w:val="auto"/>
        </w:rPr>
        <w:t>16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_Toc7081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18、 </w:t>
      </w:r>
      <w:r>
        <w:rPr>
          <w:rFonts w:hint="eastAsia" w:asciiTheme="minorEastAsia" w:hAnsiTheme="minorEastAsia" w:eastAsiaTheme="minorEastAsia" w:cstheme="minorEastAsia"/>
          <w:snapToGrid w:val="0"/>
          <w:color w:val="auto"/>
          <w:kern w:val="0"/>
          <w:szCs w:val="21"/>
          <w:lang w:val="zh-CN"/>
        </w:rPr>
        <w:t>竞争性磋商响应文件的装订、签署和数量</w:t>
      </w:r>
      <w:r>
        <w:rPr>
          <w:color w:val="auto"/>
        </w:rPr>
        <w:tab/>
      </w:r>
      <w:r>
        <w:rPr>
          <w:color w:val="auto"/>
        </w:rPr>
        <w:fldChar w:fldCharType="begin"/>
      </w:r>
      <w:r>
        <w:rPr>
          <w:color w:val="auto"/>
        </w:rPr>
        <w:instrText xml:space="preserve"> PAGEREF _Toc7081 \h </w:instrText>
      </w:r>
      <w:r>
        <w:rPr>
          <w:color w:val="auto"/>
        </w:rPr>
        <w:fldChar w:fldCharType="separate"/>
      </w:r>
      <w:r>
        <w:rPr>
          <w:color w:val="auto"/>
        </w:rPr>
        <w:t>17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_Toc16246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四、 </w:t>
      </w:r>
      <w:r>
        <w:rPr>
          <w:rFonts w:hint="eastAsia" w:asciiTheme="minorEastAsia" w:hAnsiTheme="minorEastAsia" w:eastAsiaTheme="minorEastAsia" w:cstheme="minorEastAsia"/>
          <w:color w:val="auto"/>
          <w:szCs w:val="21"/>
        </w:rPr>
        <w:t>竞争性磋商响应文件的递交</w:t>
      </w:r>
      <w:r>
        <w:rPr>
          <w:color w:val="auto"/>
        </w:rPr>
        <w:tab/>
      </w:r>
      <w:r>
        <w:rPr>
          <w:color w:val="auto"/>
        </w:rPr>
        <w:fldChar w:fldCharType="begin"/>
      </w:r>
      <w:r>
        <w:rPr>
          <w:color w:val="auto"/>
        </w:rPr>
        <w:instrText xml:space="preserve"> PAGEREF _Toc16246 \h </w:instrText>
      </w:r>
      <w:r>
        <w:rPr>
          <w:color w:val="auto"/>
        </w:rPr>
        <w:fldChar w:fldCharType="separate"/>
      </w:r>
      <w:r>
        <w:rPr>
          <w:color w:val="auto"/>
        </w:rPr>
        <w:t>17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_Toc28199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19、 </w:t>
      </w:r>
      <w:r>
        <w:rPr>
          <w:rFonts w:hint="eastAsia" w:asciiTheme="minorEastAsia" w:hAnsiTheme="minorEastAsia" w:eastAsiaTheme="minorEastAsia" w:cstheme="minorEastAsia"/>
          <w:color w:val="auto"/>
          <w:szCs w:val="21"/>
        </w:rPr>
        <w:t>竞争性磋商响应文件</w:t>
      </w:r>
      <w:r>
        <w:rPr>
          <w:rFonts w:hint="eastAsia" w:asciiTheme="minorEastAsia" w:hAnsiTheme="minorEastAsia" w:eastAsiaTheme="minorEastAsia" w:cstheme="minorEastAsia"/>
          <w:snapToGrid w:val="0"/>
          <w:color w:val="auto"/>
          <w:kern w:val="0"/>
          <w:szCs w:val="21"/>
          <w:lang w:val="zh-CN"/>
        </w:rPr>
        <w:t>的密封和标记</w:t>
      </w:r>
      <w:r>
        <w:rPr>
          <w:color w:val="auto"/>
        </w:rPr>
        <w:tab/>
      </w:r>
      <w:r>
        <w:rPr>
          <w:color w:val="auto"/>
        </w:rPr>
        <w:fldChar w:fldCharType="begin"/>
      </w:r>
      <w:r>
        <w:rPr>
          <w:color w:val="auto"/>
        </w:rPr>
        <w:instrText xml:space="preserve"> PAGEREF _Toc28199 \h </w:instrText>
      </w:r>
      <w:r>
        <w:rPr>
          <w:color w:val="auto"/>
        </w:rPr>
        <w:fldChar w:fldCharType="separate"/>
      </w:r>
      <w:r>
        <w:rPr>
          <w:color w:val="auto"/>
        </w:rPr>
        <w:t>17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_Toc10937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20、 </w:t>
      </w:r>
      <w:r>
        <w:rPr>
          <w:rFonts w:hint="eastAsia" w:asciiTheme="minorEastAsia" w:hAnsiTheme="minorEastAsia" w:eastAsiaTheme="minorEastAsia" w:cstheme="minorEastAsia"/>
          <w:snapToGrid w:val="0"/>
          <w:color w:val="auto"/>
          <w:kern w:val="0"/>
          <w:szCs w:val="21"/>
          <w:lang w:val="zh-CN"/>
        </w:rPr>
        <w:t>竞争性磋商响应文件的送达地点及截止时间</w:t>
      </w:r>
      <w:r>
        <w:rPr>
          <w:color w:val="auto"/>
        </w:rPr>
        <w:tab/>
      </w:r>
      <w:r>
        <w:rPr>
          <w:color w:val="auto"/>
        </w:rPr>
        <w:fldChar w:fldCharType="begin"/>
      </w:r>
      <w:r>
        <w:rPr>
          <w:color w:val="auto"/>
        </w:rPr>
        <w:instrText xml:space="preserve"> PAGEREF _Toc10937 \h </w:instrText>
      </w:r>
      <w:r>
        <w:rPr>
          <w:color w:val="auto"/>
        </w:rPr>
        <w:fldChar w:fldCharType="separate"/>
      </w:r>
      <w:r>
        <w:rPr>
          <w:color w:val="auto"/>
        </w:rPr>
        <w:t>17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_Toc5699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21、 </w:t>
      </w:r>
      <w:r>
        <w:rPr>
          <w:rFonts w:hint="eastAsia" w:asciiTheme="minorEastAsia" w:hAnsiTheme="minorEastAsia" w:eastAsiaTheme="minorEastAsia" w:cstheme="minorEastAsia"/>
          <w:snapToGrid w:val="0"/>
          <w:color w:val="auto"/>
          <w:kern w:val="0"/>
          <w:szCs w:val="21"/>
          <w:lang w:val="zh-CN"/>
        </w:rPr>
        <w:t>迟交的竞争性磋商响应文件</w:t>
      </w:r>
      <w:r>
        <w:rPr>
          <w:color w:val="auto"/>
        </w:rPr>
        <w:tab/>
      </w:r>
      <w:r>
        <w:rPr>
          <w:color w:val="auto"/>
        </w:rPr>
        <w:fldChar w:fldCharType="begin"/>
      </w:r>
      <w:r>
        <w:rPr>
          <w:color w:val="auto"/>
        </w:rPr>
        <w:instrText xml:space="preserve"> PAGEREF _Toc5699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_Toc15954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22、 </w:t>
      </w:r>
      <w:r>
        <w:rPr>
          <w:rFonts w:hint="eastAsia" w:asciiTheme="minorEastAsia" w:hAnsiTheme="minorEastAsia" w:eastAsiaTheme="minorEastAsia" w:cstheme="minorEastAsia"/>
          <w:snapToGrid w:val="0"/>
          <w:color w:val="auto"/>
          <w:kern w:val="0"/>
          <w:szCs w:val="21"/>
          <w:lang w:val="zh-CN"/>
        </w:rPr>
        <w:t>竞争性磋商响应文件的补充、修改或者撤回</w:t>
      </w:r>
      <w:r>
        <w:rPr>
          <w:color w:val="auto"/>
        </w:rPr>
        <w:tab/>
      </w:r>
      <w:r>
        <w:rPr>
          <w:color w:val="auto"/>
        </w:rPr>
        <w:fldChar w:fldCharType="begin"/>
      </w:r>
      <w:r>
        <w:rPr>
          <w:color w:val="auto"/>
        </w:rPr>
        <w:instrText xml:space="preserve"> PAGEREF _Toc15954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_Toc23245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五、 </w:t>
      </w:r>
      <w:r>
        <w:rPr>
          <w:rFonts w:hint="eastAsia" w:asciiTheme="minorEastAsia" w:hAnsiTheme="minorEastAsia" w:eastAsiaTheme="minorEastAsia" w:cstheme="minorEastAsia"/>
          <w:color w:val="auto"/>
          <w:szCs w:val="21"/>
        </w:rPr>
        <w:t>磋商程序及步骤</w:t>
      </w:r>
      <w:r>
        <w:rPr>
          <w:color w:val="auto"/>
        </w:rPr>
        <w:tab/>
      </w:r>
      <w:r>
        <w:rPr>
          <w:color w:val="auto"/>
        </w:rPr>
        <w:fldChar w:fldCharType="begin"/>
      </w:r>
      <w:r>
        <w:rPr>
          <w:color w:val="auto"/>
        </w:rPr>
        <w:instrText xml:space="preserve"> PAGEREF _Toc23245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_Toc2391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23、 </w:t>
      </w:r>
      <w:r>
        <w:rPr>
          <w:rFonts w:hint="eastAsia" w:asciiTheme="minorEastAsia" w:hAnsiTheme="minorEastAsia" w:eastAsiaTheme="minorEastAsia" w:cstheme="minorEastAsia"/>
          <w:color w:val="auto"/>
        </w:rPr>
        <w:t>竞争性磋商小组</w:t>
      </w:r>
      <w:r>
        <w:rPr>
          <w:color w:val="auto"/>
        </w:rPr>
        <w:tab/>
      </w:r>
      <w:r>
        <w:rPr>
          <w:color w:val="auto"/>
        </w:rPr>
        <w:fldChar w:fldCharType="begin"/>
      </w:r>
      <w:r>
        <w:rPr>
          <w:color w:val="auto"/>
        </w:rPr>
        <w:instrText xml:space="preserve"> PAGEREF _Toc2391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_Toc27646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snapToGrid w:val="0"/>
          <w:color w:val="auto"/>
          <w:kern w:val="0"/>
          <w:szCs w:val="21"/>
          <w:lang w:val="zh-CN"/>
        </w:rPr>
        <w:t xml:space="preserve">24、 </w:t>
      </w:r>
      <w:r>
        <w:rPr>
          <w:rFonts w:hint="eastAsia" w:asciiTheme="minorEastAsia" w:hAnsiTheme="minorEastAsia" w:eastAsiaTheme="minorEastAsia" w:cstheme="minorEastAsia"/>
          <w:color w:val="auto"/>
        </w:rPr>
        <w:t>磋商代表</w:t>
      </w:r>
      <w:r>
        <w:rPr>
          <w:color w:val="auto"/>
        </w:rPr>
        <w:tab/>
      </w:r>
      <w:r>
        <w:rPr>
          <w:color w:val="auto"/>
        </w:rPr>
        <w:fldChar w:fldCharType="begin"/>
      </w:r>
      <w:r>
        <w:rPr>
          <w:color w:val="auto"/>
        </w:rPr>
        <w:instrText xml:space="preserve"> PAGEREF _Toc27646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_Toc19112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rPr>
        <w:t xml:space="preserve">25、 </w:t>
      </w:r>
      <w:r>
        <w:rPr>
          <w:rFonts w:hint="eastAsia" w:asciiTheme="minorEastAsia" w:hAnsiTheme="minorEastAsia" w:eastAsiaTheme="minorEastAsia" w:cstheme="minorEastAsia"/>
          <w:color w:val="auto"/>
        </w:rPr>
        <w:t>资格审查和符合性审查</w:t>
      </w:r>
      <w:r>
        <w:rPr>
          <w:color w:val="auto"/>
        </w:rPr>
        <w:tab/>
      </w:r>
      <w:r>
        <w:rPr>
          <w:color w:val="auto"/>
        </w:rPr>
        <w:fldChar w:fldCharType="begin"/>
      </w:r>
      <w:r>
        <w:rPr>
          <w:color w:val="auto"/>
        </w:rPr>
        <w:instrText xml:space="preserve"> PAGEREF _Toc19112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_Toc26235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rPr>
        <w:t xml:space="preserve">26、 </w:t>
      </w:r>
      <w:r>
        <w:rPr>
          <w:rFonts w:hint="eastAsia" w:asciiTheme="minorEastAsia" w:hAnsiTheme="minorEastAsia" w:eastAsiaTheme="minorEastAsia" w:cstheme="minorEastAsia"/>
          <w:color w:val="auto"/>
        </w:rPr>
        <w:t>磋商</w:t>
      </w:r>
      <w:r>
        <w:rPr>
          <w:color w:val="auto"/>
        </w:rPr>
        <w:tab/>
      </w:r>
      <w:r>
        <w:rPr>
          <w:color w:val="auto"/>
        </w:rPr>
        <w:fldChar w:fldCharType="begin"/>
      </w:r>
      <w:r>
        <w:rPr>
          <w:color w:val="auto"/>
        </w:rPr>
        <w:instrText xml:space="preserve"> PAGEREF _Toc26235 \h </w:instrText>
      </w:r>
      <w:r>
        <w:rPr>
          <w:color w:val="auto"/>
        </w:rPr>
        <w:fldChar w:fldCharType="separate"/>
      </w:r>
      <w:r>
        <w:rPr>
          <w:color w:val="auto"/>
        </w:rPr>
        <w:t>18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_Toc11075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lang w:val="zh-CN"/>
        </w:rPr>
        <w:t xml:space="preserve">27、 </w:t>
      </w:r>
      <w:r>
        <w:rPr>
          <w:rFonts w:hint="eastAsia" w:asciiTheme="minorEastAsia" w:hAnsiTheme="minorEastAsia" w:eastAsiaTheme="minorEastAsia" w:cstheme="minorEastAsia"/>
          <w:color w:val="auto"/>
          <w:lang w:val="zh-CN"/>
        </w:rPr>
        <w:t>保密</w:t>
      </w:r>
      <w:r>
        <w:rPr>
          <w:color w:val="auto"/>
        </w:rPr>
        <w:tab/>
      </w:r>
      <w:r>
        <w:rPr>
          <w:color w:val="auto"/>
        </w:rPr>
        <w:fldChar w:fldCharType="begin"/>
      </w:r>
      <w:r>
        <w:rPr>
          <w:color w:val="auto"/>
        </w:rPr>
        <w:instrText xml:space="preserve"> PAGEREF _Toc11075 \h </w:instrText>
      </w:r>
      <w:r>
        <w:rPr>
          <w:color w:val="auto"/>
        </w:rPr>
        <w:fldChar w:fldCharType="separate"/>
      </w:r>
      <w:r>
        <w:rPr>
          <w:color w:val="auto"/>
        </w:rPr>
        <w:t>20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_Toc11527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rPr>
        <w:t xml:space="preserve">六、 </w:t>
      </w:r>
      <w:r>
        <w:rPr>
          <w:rFonts w:hint="eastAsia" w:asciiTheme="minorEastAsia" w:hAnsiTheme="minorEastAsia" w:eastAsiaTheme="minorEastAsia" w:cstheme="minorEastAsia"/>
          <w:color w:val="auto"/>
          <w:szCs w:val="21"/>
        </w:rPr>
        <w:t>成交与签订合同</w:t>
      </w:r>
      <w:r>
        <w:rPr>
          <w:color w:val="auto"/>
        </w:rPr>
        <w:tab/>
      </w:r>
      <w:r>
        <w:rPr>
          <w:color w:val="auto"/>
        </w:rPr>
        <w:fldChar w:fldCharType="begin"/>
      </w:r>
      <w:r>
        <w:rPr>
          <w:color w:val="auto"/>
        </w:rPr>
        <w:instrText xml:space="preserve"> PAGEREF _Toc11527 \h </w:instrText>
      </w:r>
      <w:r>
        <w:rPr>
          <w:color w:val="auto"/>
        </w:rPr>
        <w:fldChar w:fldCharType="separate"/>
      </w:r>
      <w:r>
        <w:rPr>
          <w:color w:val="auto"/>
        </w:rPr>
        <w:t>20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_Toc7187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lang w:val="zh-CN"/>
        </w:rPr>
        <w:t xml:space="preserve">28、 </w:t>
      </w:r>
      <w:r>
        <w:rPr>
          <w:rFonts w:hint="eastAsia" w:asciiTheme="minorEastAsia" w:hAnsiTheme="minorEastAsia" w:eastAsiaTheme="minorEastAsia" w:cstheme="minorEastAsia"/>
          <w:color w:val="auto"/>
          <w:lang w:val="zh-CN"/>
        </w:rPr>
        <w:t>合同授予标准</w:t>
      </w:r>
      <w:r>
        <w:rPr>
          <w:color w:val="auto"/>
        </w:rPr>
        <w:tab/>
      </w:r>
      <w:r>
        <w:rPr>
          <w:color w:val="auto"/>
        </w:rPr>
        <w:fldChar w:fldCharType="begin"/>
      </w:r>
      <w:r>
        <w:rPr>
          <w:color w:val="auto"/>
        </w:rPr>
        <w:instrText xml:space="preserve"> PAGEREF _Toc7187 \h </w:instrText>
      </w:r>
      <w:r>
        <w:rPr>
          <w:color w:val="auto"/>
        </w:rPr>
        <w:fldChar w:fldCharType="separate"/>
      </w:r>
      <w:r>
        <w:rPr>
          <w:color w:val="auto"/>
        </w:rPr>
        <w:t>20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_Toc22996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lang w:val="zh-CN"/>
        </w:rPr>
        <w:t xml:space="preserve">29、 </w:t>
      </w:r>
      <w:r>
        <w:rPr>
          <w:rFonts w:hint="eastAsia" w:asciiTheme="minorEastAsia" w:hAnsiTheme="minorEastAsia" w:eastAsiaTheme="minorEastAsia" w:cstheme="minorEastAsia"/>
          <w:color w:val="auto"/>
          <w:lang w:val="zh-CN"/>
        </w:rPr>
        <w:t>签订合同</w:t>
      </w:r>
      <w:r>
        <w:rPr>
          <w:color w:val="auto"/>
        </w:rPr>
        <w:tab/>
      </w:r>
      <w:r>
        <w:rPr>
          <w:color w:val="auto"/>
        </w:rPr>
        <w:fldChar w:fldCharType="begin"/>
      </w:r>
      <w:r>
        <w:rPr>
          <w:color w:val="auto"/>
        </w:rPr>
        <w:instrText xml:space="preserve"> PAGEREF _Toc22996 \h </w:instrText>
      </w:r>
      <w:r>
        <w:rPr>
          <w:color w:val="auto"/>
        </w:rPr>
        <w:fldChar w:fldCharType="separate"/>
      </w:r>
      <w:r>
        <w:rPr>
          <w:color w:val="auto"/>
        </w:rPr>
        <w:t>20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_Toc2069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lang w:val="zh-CN"/>
        </w:rPr>
        <w:t xml:space="preserve">31、 </w:t>
      </w:r>
      <w:r>
        <w:rPr>
          <w:rFonts w:hint="eastAsia" w:asciiTheme="minorEastAsia" w:hAnsiTheme="minorEastAsia" w:eastAsiaTheme="minorEastAsia" w:cstheme="minorEastAsia"/>
          <w:color w:val="auto"/>
          <w:lang w:val="zh-CN"/>
        </w:rPr>
        <w:t>质疑回复</w:t>
      </w:r>
      <w:r>
        <w:rPr>
          <w:color w:val="auto"/>
        </w:rPr>
        <w:tab/>
      </w:r>
      <w:r>
        <w:rPr>
          <w:color w:val="auto"/>
        </w:rPr>
        <w:fldChar w:fldCharType="begin"/>
      </w:r>
      <w:r>
        <w:rPr>
          <w:color w:val="auto"/>
        </w:rPr>
        <w:instrText xml:space="preserve"> PAGEREF _Toc2069 \h </w:instrText>
      </w:r>
      <w:r>
        <w:rPr>
          <w:color w:val="auto"/>
        </w:rPr>
        <w:fldChar w:fldCharType="separate"/>
      </w:r>
      <w:r>
        <w:rPr>
          <w:color w:val="auto"/>
        </w:rPr>
        <w:t>22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_Toc28215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lang w:val="zh-CN"/>
        </w:rPr>
        <w:t xml:space="preserve">32、 </w:t>
      </w:r>
      <w:r>
        <w:rPr>
          <w:rFonts w:hint="eastAsia" w:asciiTheme="minorEastAsia" w:hAnsiTheme="minorEastAsia" w:eastAsiaTheme="minorEastAsia" w:cstheme="minorEastAsia"/>
          <w:color w:val="auto"/>
          <w:lang w:val="zh-CN"/>
        </w:rPr>
        <w:t>投诉</w:t>
      </w:r>
      <w:r>
        <w:rPr>
          <w:color w:val="auto"/>
        </w:rPr>
        <w:tab/>
      </w:r>
      <w:r>
        <w:rPr>
          <w:color w:val="auto"/>
        </w:rPr>
        <w:fldChar w:fldCharType="begin"/>
      </w:r>
      <w:r>
        <w:rPr>
          <w:color w:val="auto"/>
        </w:rPr>
        <w:instrText xml:space="preserve"> PAGEREF _Toc28215 \h </w:instrText>
      </w:r>
      <w:r>
        <w:rPr>
          <w:color w:val="auto"/>
        </w:rPr>
        <w:fldChar w:fldCharType="separate"/>
      </w:r>
      <w:r>
        <w:rPr>
          <w:color w:val="auto"/>
        </w:rPr>
        <w:t>22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_Toc13007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lang w:val="zh-CN"/>
        </w:rPr>
        <w:t xml:space="preserve">八、 </w:t>
      </w:r>
      <w:r>
        <w:rPr>
          <w:rFonts w:hint="eastAsia" w:asciiTheme="minorEastAsia" w:hAnsiTheme="minorEastAsia" w:eastAsiaTheme="minorEastAsia" w:cstheme="minorEastAsia"/>
          <w:color w:val="auto"/>
          <w:szCs w:val="21"/>
          <w:lang w:val="zh-CN"/>
        </w:rPr>
        <w:t>政策</w:t>
      </w:r>
      <w:r>
        <w:rPr>
          <w:color w:val="auto"/>
        </w:rPr>
        <w:tab/>
      </w:r>
      <w:r>
        <w:rPr>
          <w:color w:val="auto"/>
        </w:rPr>
        <w:fldChar w:fldCharType="begin"/>
      </w:r>
      <w:r>
        <w:rPr>
          <w:color w:val="auto"/>
        </w:rPr>
        <w:instrText xml:space="preserve"> PAGEREF _Toc13007 \h </w:instrText>
      </w:r>
      <w:r>
        <w:rPr>
          <w:color w:val="auto"/>
        </w:rPr>
        <w:fldChar w:fldCharType="separate"/>
      </w:r>
      <w:r>
        <w:rPr>
          <w:color w:val="auto"/>
        </w:rPr>
        <w:t>22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_Toc25346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rPr>
        <w:t xml:space="preserve">33、 </w:t>
      </w:r>
      <w:r>
        <w:rPr>
          <w:rFonts w:hint="eastAsia" w:asciiTheme="minorEastAsia" w:hAnsiTheme="minorEastAsia" w:eastAsiaTheme="minorEastAsia" w:cstheme="minorEastAsia"/>
          <w:color w:val="auto"/>
        </w:rPr>
        <w:t>政府采购政策</w:t>
      </w:r>
      <w:r>
        <w:rPr>
          <w:color w:val="auto"/>
        </w:rPr>
        <w:tab/>
      </w:r>
      <w:r>
        <w:rPr>
          <w:color w:val="auto"/>
        </w:rPr>
        <w:fldChar w:fldCharType="begin"/>
      </w:r>
      <w:r>
        <w:rPr>
          <w:color w:val="auto"/>
        </w:rPr>
        <w:instrText xml:space="preserve"> PAGEREF _Toc25346 \h </w:instrText>
      </w:r>
      <w:r>
        <w:rPr>
          <w:color w:val="auto"/>
        </w:rPr>
        <w:fldChar w:fldCharType="separate"/>
      </w:r>
      <w:r>
        <w:rPr>
          <w:color w:val="auto"/>
        </w:rPr>
        <w:t>22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_Toc28581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lang w:val="zh-CN"/>
        </w:rPr>
        <w:t xml:space="preserve">九、 </w:t>
      </w:r>
      <w:r>
        <w:rPr>
          <w:rFonts w:hint="eastAsia" w:asciiTheme="minorEastAsia" w:hAnsiTheme="minorEastAsia" w:eastAsiaTheme="minorEastAsia" w:cstheme="minorEastAsia"/>
          <w:color w:val="auto"/>
          <w:szCs w:val="21"/>
          <w:lang w:val="zh-CN"/>
        </w:rPr>
        <w:t>其他要求</w:t>
      </w:r>
      <w:r>
        <w:rPr>
          <w:color w:val="auto"/>
        </w:rPr>
        <w:tab/>
      </w:r>
      <w:r>
        <w:rPr>
          <w:color w:val="auto"/>
        </w:rPr>
        <w:fldChar w:fldCharType="begin"/>
      </w:r>
      <w:r>
        <w:rPr>
          <w:color w:val="auto"/>
        </w:rPr>
        <w:instrText xml:space="preserve"> PAGEREF _Toc28581 \h </w:instrText>
      </w:r>
      <w:r>
        <w:rPr>
          <w:color w:val="auto"/>
        </w:rPr>
        <w:fldChar w:fldCharType="separate"/>
      </w:r>
      <w:r>
        <w:rPr>
          <w:color w:val="auto"/>
        </w:rPr>
        <w:t>23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_Toc27769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21"/>
          <w:lang w:val="zh-CN"/>
        </w:rPr>
        <w:t xml:space="preserve">十、 </w:t>
      </w:r>
      <w:r>
        <w:rPr>
          <w:rFonts w:hint="eastAsia" w:asciiTheme="minorEastAsia" w:hAnsiTheme="minorEastAsia" w:eastAsiaTheme="minorEastAsia" w:cstheme="minorEastAsia"/>
          <w:color w:val="auto"/>
          <w:szCs w:val="21"/>
          <w:lang w:val="zh-CN"/>
        </w:rPr>
        <w:t>适用法律</w:t>
      </w:r>
      <w:r>
        <w:rPr>
          <w:color w:val="auto"/>
        </w:rPr>
        <w:tab/>
      </w:r>
      <w:r>
        <w:rPr>
          <w:color w:val="auto"/>
        </w:rPr>
        <w:fldChar w:fldCharType="begin"/>
      </w:r>
      <w:r>
        <w:rPr>
          <w:color w:val="auto"/>
        </w:rPr>
        <w:instrText xml:space="preserve"> PAGEREF _Toc27769 \h </w:instrText>
      </w:r>
      <w:r>
        <w:rPr>
          <w:color w:val="auto"/>
        </w:rPr>
        <w:fldChar w:fldCharType="separate"/>
      </w:r>
      <w:r>
        <w:rPr>
          <w:color w:val="auto"/>
        </w:rPr>
        <w:t>23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2"/>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_Toc24183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36"/>
        </w:rPr>
        <w:t xml:space="preserve">第三章 </w:t>
      </w:r>
      <w:r>
        <w:rPr>
          <w:rFonts w:hint="eastAsia" w:asciiTheme="minorEastAsia" w:hAnsiTheme="minorEastAsia" w:eastAsiaTheme="minorEastAsia" w:cstheme="minorEastAsia"/>
          <w:bCs/>
          <w:color w:val="auto"/>
          <w:szCs w:val="36"/>
        </w:rPr>
        <w:t>采购需求</w:t>
      </w:r>
      <w:r>
        <w:rPr>
          <w:color w:val="auto"/>
        </w:rPr>
        <w:tab/>
      </w:r>
      <w:r>
        <w:rPr>
          <w:color w:val="auto"/>
        </w:rPr>
        <w:fldChar w:fldCharType="begin"/>
      </w:r>
      <w:r>
        <w:rPr>
          <w:color w:val="auto"/>
        </w:rPr>
        <w:instrText xml:space="preserve"> PAGEREF _Toc24183 \h </w:instrText>
      </w:r>
      <w:r>
        <w:rPr>
          <w:color w:val="auto"/>
        </w:rPr>
        <w:fldChar w:fldCharType="separate"/>
      </w:r>
      <w:r>
        <w:rPr>
          <w:color w:val="auto"/>
        </w:rPr>
        <w:t>25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_Toc7419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rPr>
        <w:t>一、技术需求</w:t>
      </w:r>
      <w:r>
        <w:rPr>
          <w:color w:val="auto"/>
        </w:rPr>
        <w:tab/>
      </w:r>
      <w:r>
        <w:rPr>
          <w:color w:val="auto"/>
        </w:rPr>
        <w:fldChar w:fldCharType="begin"/>
      </w:r>
      <w:r>
        <w:rPr>
          <w:color w:val="auto"/>
        </w:rPr>
        <w:instrText xml:space="preserve"> PAGEREF _Toc7419 \h </w:instrText>
      </w:r>
      <w:r>
        <w:rPr>
          <w:color w:val="auto"/>
        </w:rPr>
        <w:fldChar w:fldCharType="separate"/>
      </w:r>
      <w:r>
        <w:rPr>
          <w:color w:val="auto"/>
        </w:rPr>
        <w:t>25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_Toc31264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rPr>
        <w:t>二、商务需求</w:t>
      </w:r>
      <w:r>
        <w:rPr>
          <w:color w:val="auto"/>
        </w:rPr>
        <w:tab/>
      </w:r>
      <w:r>
        <w:rPr>
          <w:color w:val="auto"/>
        </w:rPr>
        <w:fldChar w:fldCharType="begin"/>
      </w:r>
      <w:r>
        <w:rPr>
          <w:color w:val="auto"/>
        </w:rPr>
        <w:instrText xml:space="preserve"> PAGEREF _Toc31264 \h </w:instrText>
      </w:r>
      <w:r>
        <w:rPr>
          <w:color w:val="auto"/>
        </w:rPr>
        <w:fldChar w:fldCharType="separate"/>
      </w:r>
      <w:r>
        <w:rPr>
          <w:color w:val="auto"/>
        </w:rPr>
        <w:t>36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2"/>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_Toc22031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36"/>
        </w:rPr>
        <w:t xml:space="preserve">第四章 </w:t>
      </w:r>
      <w:r>
        <w:rPr>
          <w:rFonts w:hint="eastAsia" w:asciiTheme="minorEastAsia" w:hAnsiTheme="minorEastAsia" w:eastAsiaTheme="minorEastAsia" w:cstheme="minorEastAsia"/>
          <w:color w:val="auto"/>
          <w:szCs w:val="36"/>
        </w:rPr>
        <w:t>竞争性磋商采购评定办法</w:t>
      </w:r>
      <w:r>
        <w:rPr>
          <w:color w:val="auto"/>
        </w:rPr>
        <w:tab/>
      </w:r>
      <w:r>
        <w:rPr>
          <w:color w:val="auto"/>
        </w:rPr>
        <w:fldChar w:fldCharType="begin"/>
      </w:r>
      <w:r>
        <w:rPr>
          <w:color w:val="auto"/>
        </w:rPr>
        <w:instrText xml:space="preserve"> PAGEREF _Toc22031 \h </w:instrText>
      </w:r>
      <w:r>
        <w:rPr>
          <w:color w:val="auto"/>
        </w:rPr>
        <w:fldChar w:fldCharType="separate"/>
      </w:r>
      <w:r>
        <w:rPr>
          <w:color w:val="auto"/>
        </w:rPr>
        <w:t>40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_Toc28632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一、评定办法前附表</w:t>
      </w:r>
      <w:r>
        <w:rPr>
          <w:color w:val="auto"/>
        </w:rPr>
        <w:tab/>
      </w:r>
      <w:r>
        <w:rPr>
          <w:color w:val="auto"/>
        </w:rPr>
        <w:fldChar w:fldCharType="begin"/>
      </w:r>
      <w:r>
        <w:rPr>
          <w:color w:val="auto"/>
        </w:rPr>
        <w:instrText xml:space="preserve"> PAGEREF _Toc28632 \h </w:instrText>
      </w:r>
      <w:r>
        <w:rPr>
          <w:color w:val="auto"/>
        </w:rPr>
        <w:fldChar w:fldCharType="separate"/>
      </w:r>
      <w:r>
        <w:rPr>
          <w:color w:val="auto"/>
        </w:rPr>
        <w:t>40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_Toc17070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二、计算办法</w:t>
      </w:r>
      <w:r>
        <w:rPr>
          <w:color w:val="auto"/>
        </w:rPr>
        <w:tab/>
      </w:r>
      <w:r>
        <w:rPr>
          <w:color w:val="auto"/>
        </w:rPr>
        <w:fldChar w:fldCharType="begin"/>
      </w:r>
      <w:r>
        <w:rPr>
          <w:color w:val="auto"/>
        </w:rPr>
        <w:instrText xml:space="preserve"> PAGEREF _Toc17070 \h </w:instrText>
      </w:r>
      <w:r>
        <w:rPr>
          <w:color w:val="auto"/>
        </w:rPr>
        <w:fldChar w:fldCharType="separate"/>
      </w:r>
      <w:r>
        <w:rPr>
          <w:color w:val="auto"/>
        </w:rPr>
        <w:t>42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_Toc11519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三、评分细则</w:t>
      </w:r>
      <w:r>
        <w:rPr>
          <w:color w:val="auto"/>
        </w:rPr>
        <w:tab/>
      </w:r>
      <w:r>
        <w:rPr>
          <w:color w:val="auto"/>
        </w:rPr>
        <w:fldChar w:fldCharType="begin"/>
      </w:r>
      <w:r>
        <w:rPr>
          <w:color w:val="auto"/>
        </w:rPr>
        <w:instrText xml:space="preserve"> PAGEREF _Toc11519 \h </w:instrText>
      </w:r>
      <w:r>
        <w:rPr>
          <w:color w:val="auto"/>
        </w:rPr>
        <w:fldChar w:fldCharType="separate"/>
      </w:r>
      <w:r>
        <w:rPr>
          <w:color w:val="auto"/>
        </w:rPr>
        <w:t>44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_Toc22897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四、评定办法</w:t>
      </w:r>
      <w:r>
        <w:rPr>
          <w:color w:val="auto"/>
        </w:rPr>
        <w:tab/>
      </w:r>
      <w:r>
        <w:rPr>
          <w:color w:val="auto"/>
        </w:rPr>
        <w:fldChar w:fldCharType="begin"/>
      </w:r>
      <w:r>
        <w:rPr>
          <w:color w:val="auto"/>
        </w:rPr>
        <w:instrText xml:space="preserve"> PAGEREF _Toc22897 \h </w:instrText>
      </w:r>
      <w:r>
        <w:rPr>
          <w:color w:val="auto"/>
        </w:rPr>
        <w:fldChar w:fldCharType="separate"/>
      </w:r>
      <w:r>
        <w:rPr>
          <w:color w:val="auto"/>
        </w:rPr>
        <w:t>46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_Toc21223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五、磋商及评审步骤</w:t>
      </w:r>
      <w:r>
        <w:rPr>
          <w:color w:val="auto"/>
        </w:rPr>
        <w:tab/>
      </w:r>
      <w:r>
        <w:rPr>
          <w:color w:val="auto"/>
        </w:rPr>
        <w:fldChar w:fldCharType="begin"/>
      </w:r>
      <w:r>
        <w:rPr>
          <w:color w:val="auto"/>
        </w:rPr>
        <w:instrText xml:space="preserve"> PAGEREF _Toc21223 \h </w:instrText>
      </w:r>
      <w:r>
        <w:rPr>
          <w:color w:val="auto"/>
        </w:rPr>
        <w:fldChar w:fldCharType="separate"/>
      </w:r>
      <w:r>
        <w:rPr>
          <w:color w:val="auto"/>
        </w:rPr>
        <w:t>47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2"/>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_Toc14357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kern w:val="0"/>
          <w:szCs w:val="36"/>
        </w:rPr>
        <w:t xml:space="preserve">第五章 </w:t>
      </w:r>
      <w:r>
        <w:rPr>
          <w:rFonts w:hint="eastAsia" w:asciiTheme="minorEastAsia" w:hAnsiTheme="minorEastAsia" w:eastAsiaTheme="minorEastAsia" w:cstheme="minorEastAsia"/>
          <w:color w:val="auto"/>
          <w:szCs w:val="36"/>
        </w:rPr>
        <w:t>合同书格式</w:t>
      </w:r>
      <w:r>
        <w:rPr>
          <w:color w:val="auto"/>
        </w:rPr>
        <w:tab/>
      </w:r>
      <w:r>
        <w:rPr>
          <w:b w:val="0"/>
          <w:bCs w:val="0"/>
          <w:color w:val="auto"/>
        </w:rPr>
        <w:fldChar w:fldCharType="begin"/>
      </w:r>
      <w:r>
        <w:rPr>
          <w:b w:val="0"/>
          <w:bCs w:val="0"/>
          <w:color w:val="auto"/>
        </w:rPr>
        <w:instrText xml:space="preserve"> PAGEREF _Toc14357 \h </w:instrText>
      </w:r>
      <w:r>
        <w:rPr>
          <w:b w:val="0"/>
          <w:bCs w:val="0"/>
          <w:color w:val="auto"/>
        </w:rPr>
        <w:fldChar w:fldCharType="separate"/>
      </w:r>
      <w:r>
        <w:rPr>
          <w:rFonts w:hint="eastAsia"/>
          <w:b w:val="0"/>
          <w:bCs w:val="0"/>
          <w:lang w:val="en-US" w:eastAsia="zh-CN"/>
        </w:rPr>
        <w:t>49</w:t>
      </w:r>
      <w:r>
        <w:rPr>
          <w:b w:val="0"/>
          <w:bCs w:val="0"/>
          <w:color w:val="auto"/>
        </w:rPr>
        <w:fldChar w:fldCharType="end"/>
      </w:r>
      <w:r>
        <w:rPr>
          <w:rFonts w:hint="eastAsia" w:asciiTheme="minorEastAsia" w:hAnsiTheme="minorEastAsia" w:eastAsiaTheme="minorEastAsia" w:cstheme="minorEastAsia"/>
          <w:color w:val="auto"/>
          <w:szCs w:val="21"/>
        </w:rPr>
        <w:fldChar w:fldCharType="end"/>
      </w:r>
    </w:p>
    <w:p>
      <w:pPr>
        <w:pStyle w:val="22"/>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_Toc27759 </w:instrText>
      </w:r>
      <w:r>
        <w:rPr>
          <w:rFonts w:hint="eastAsia" w:asciiTheme="minorEastAsia" w:hAnsiTheme="minorEastAsia" w:eastAsiaTheme="minorEastAsia" w:cstheme="minorEastAsia"/>
          <w:color w:val="auto"/>
          <w:szCs w:val="21"/>
        </w:rPr>
        <w:fldChar w:fldCharType="separate"/>
      </w:r>
      <w:r>
        <w:rPr>
          <w:rFonts w:hint="default" w:asciiTheme="minorEastAsia" w:hAnsiTheme="minorEastAsia" w:eastAsiaTheme="minorEastAsia" w:cstheme="minorEastAsia"/>
          <w:color w:val="auto"/>
          <w:szCs w:val="36"/>
        </w:rPr>
        <w:t xml:space="preserve">第六章 </w:t>
      </w:r>
      <w:r>
        <w:rPr>
          <w:rFonts w:hint="eastAsia" w:asciiTheme="minorEastAsia" w:hAnsiTheme="minorEastAsia" w:eastAsiaTheme="minorEastAsia" w:cstheme="minorEastAsia"/>
          <w:color w:val="auto"/>
          <w:szCs w:val="36"/>
        </w:rPr>
        <w:t>竞争性磋商响应文件格式</w:t>
      </w:r>
      <w:r>
        <w:rPr>
          <w:color w:val="auto"/>
        </w:rPr>
        <w:tab/>
      </w:r>
      <w:r>
        <w:rPr>
          <w:color w:val="auto"/>
        </w:rPr>
        <w:fldChar w:fldCharType="begin"/>
      </w:r>
      <w:r>
        <w:rPr>
          <w:color w:val="auto"/>
        </w:rPr>
        <w:instrText xml:space="preserve"> PAGEREF _Toc27759 \h </w:instrText>
      </w:r>
      <w:r>
        <w:rPr>
          <w:color w:val="auto"/>
        </w:rPr>
        <w:fldChar w:fldCharType="separate"/>
      </w:r>
      <w:r>
        <w:rPr>
          <w:color w:val="auto"/>
        </w:rPr>
        <w:t>53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_Toc10611 </w:instrText>
      </w:r>
      <w:r>
        <w:rPr>
          <w:rFonts w:hint="eastAsia" w:asciiTheme="minorEastAsia" w:hAnsiTheme="minorEastAsia" w:eastAsiaTheme="minorEastAsia" w:cstheme="minorEastAsia"/>
          <w:color w:val="auto"/>
          <w:szCs w:val="21"/>
        </w:rPr>
        <w:fldChar w:fldCharType="separate"/>
      </w:r>
      <w:r>
        <w:rPr>
          <w:rFonts w:hint="eastAsia" w:ascii="宋体" w:hAnsi="宋体" w:cs="宋体"/>
          <w:color w:val="auto"/>
          <w:szCs w:val="21"/>
        </w:rPr>
        <w:t>一、评分标准索引表</w:t>
      </w:r>
      <w:r>
        <w:rPr>
          <w:color w:val="auto"/>
        </w:rPr>
        <w:tab/>
      </w:r>
      <w:r>
        <w:rPr>
          <w:color w:val="auto"/>
        </w:rPr>
        <w:fldChar w:fldCharType="begin"/>
      </w:r>
      <w:r>
        <w:rPr>
          <w:color w:val="auto"/>
        </w:rPr>
        <w:instrText xml:space="preserve"> PAGEREF _Toc10611 \h </w:instrText>
      </w:r>
      <w:r>
        <w:rPr>
          <w:color w:val="auto"/>
        </w:rPr>
        <w:fldChar w:fldCharType="separate"/>
      </w:r>
      <w:r>
        <w:rPr>
          <w:color w:val="auto"/>
        </w:rPr>
        <w:t>54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_Toc5983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rPr>
        <w:t>二、磋商书</w:t>
      </w:r>
      <w:r>
        <w:rPr>
          <w:color w:val="auto"/>
        </w:rPr>
        <w:tab/>
      </w:r>
      <w:r>
        <w:rPr>
          <w:color w:val="auto"/>
        </w:rPr>
        <w:fldChar w:fldCharType="begin"/>
      </w:r>
      <w:r>
        <w:rPr>
          <w:color w:val="auto"/>
        </w:rPr>
        <w:instrText xml:space="preserve"> PAGEREF _Toc5983 \h </w:instrText>
      </w:r>
      <w:r>
        <w:rPr>
          <w:color w:val="auto"/>
        </w:rPr>
        <w:fldChar w:fldCharType="separate"/>
      </w:r>
      <w:r>
        <w:rPr>
          <w:color w:val="auto"/>
        </w:rPr>
        <w:t>55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_Toc1319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rPr>
        <w:t>三、法定代表人授权书</w:t>
      </w:r>
      <w:r>
        <w:rPr>
          <w:color w:val="auto"/>
        </w:rPr>
        <w:tab/>
      </w:r>
      <w:r>
        <w:rPr>
          <w:color w:val="auto"/>
        </w:rPr>
        <w:fldChar w:fldCharType="begin"/>
      </w:r>
      <w:r>
        <w:rPr>
          <w:color w:val="auto"/>
        </w:rPr>
        <w:instrText xml:space="preserve"> PAGEREF _Toc1319 \h </w:instrText>
      </w:r>
      <w:r>
        <w:rPr>
          <w:color w:val="auto"/>
        </w:rPr>
        <w:fldChar w:fldCharType="separate"/>
      </w:r>
      <w:r>
        <w:rPr>
          <w:color w:val="auto"/>
        </w:rPr>
        <w:t>56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_Toc25052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kern w:val="0"/>
          <w:szCs w:val="21"/>
        </w:rPr>
        <w:t>四、</w:t>
      </w:r>
      <w:r>
        <w:rPr>
          <w:rFonts w:hint="eastAsia" w:asciiTheme="minorEastAsia" w:hAnsiTheme="minorEastAsia" w:eastAsiaTheme="minorEastAsia" w:cstheme="minorEastAsia"/>
          <w:bCs/>
          <w:color w:val="auto"/>
          <w:szCs w:val="21"/>
        </w:rPr>
        <w:t>法定代表人身份证明书</w:t>
      </w:r>
      <w:r>
        <w:rPr>
          <w:color w:val="auto"/>
        </w:rPr>
        <w:tab/>
      </w:r>
      <w:r>
        <w:rPr>
          <w:color w:val="auto"/>
        </w:rPr>
        <w:fldChar w:fldCharType="begin"/>
      </w:r>
      <w:r>
        <w:rPr>
          <w:color w:val="auto"/>
        </w:rPr>
        <w:instrText xml:space="preserve"> PAGEREF _Toc25052 \h </w:instrText>
      </w:r>
      <w:r>
        <w:rPr>
          <w:color w:val="auto"/>
        </w:rPr>
        <w:fldChar w:fldCharType="separate"/>
      </w:r>
      <w:r>
        <w:rPr>
          <w:color w:val="auto"/>
        </w:rPr>
        <w:t>57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_Toc13188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五、报价一览表</w:t>
      </w:r>
      <w:r>
        <w:rPr>
          <w:color w:val="auto"/>
        </w:rPr>
        <w:tab/>
      </w:r>
      <w:r>
        <w:rPr>
          <w:color w:val="auto"/>
        </w:rPr>
        <w:fldChar w:fldCharType="begin"/>
      </w:r>
      <w:r>
        <w:rPr>
          <w:color w:val="auto"/>
        </w:rPr>
        <w:instrText xml:space="preserve"> PAGEREF _Toc13188 \h </w:instrText>
      </w:r>
      <w:r>
        <w:rPr>
          <w:color w:val="auto"/>
        </w:rPr>
        <w:fldChar w:fldCharType="separate"/>
      </w:r>
      <w:r>
        <w:rPr>
          <w:color w:val="auto"/>
        </w:rPr>
        <w:t>58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_Toc14694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六、报价费用构成表</w:t>
      </w:r>
      <w:r>
        <w:rPr>
          <w:color w:val="auto"/>
        </w:rPr>
        <w:tab/>
      </w:r>
      <w:r>
        <w:rPr>
          <w:color w:val="auto"/>
        </w:rPr>
        <w:fldChar w:fldCharType="begin"/>
      </w:r>
      <w:r>
        <w:rPr>
          <w:color w:val="auto"/>
        </w:rPr>
        <w:instrText xml:space="preserve"> PAGEREF _Toc14694 \h </w:instrText>
      </w:r>
      <w:r>
        <w:rPr>
          <w:color w:val="auto"/>
        </w:rPr>
        <w:fldChar w:fldCharType="separate"/>
      </w:r>
      <w:r>
        <w:rPr>
          <w:color w:val="auto"/>
        </w:rPr>
        <w:t>59</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_Toc24732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七、耗材清单</w:t>
      </w:r>
      <w:r>
        <w:rPr>
          <w:color w:val="auto"/>
        </w:rPr>
        <w:tab/>
      </w:r>
      <w:r>
        <w:rPr>
          <w:color w:val="auto"/>
        </w:rPr>
        <w:fldChar w:fldCharType="begin"/>
      </w:r>
      <w:r>
        <w:rPr>
          <w:color w:val="auto"/>
        </w:rPr>
        <w:instrText xml:space="preserve"> PAGEREF _Toc24732 \h </w:instrText>
      </w:r>
      <w:r>
        <w:rPr>
          <w:color w:val="auto"/>
        </w:rPr>
        <w:fldChar w:fldCharType="separate"/>
      </w:r>
      <w:r>
        <w:rPr>
          <w:color w:val="auto"/>
        </w:rPr>
        <w:t>60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_Toc1043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八、拟投入设备/备件、工具情况</w:t>
      </w:r>
      <w:r>
        <w:rPr>
          <w:color w:val="auto"/>
        </w:rPr>
        <w:tab/>
      </w:r>
      <w:r>
        <w:rPr>
          <w:color w:val="auto"/>
        </w:rPr>
        <w:fldChar w:fldCharType="begin"/>
      </w:r>
      <w:r>
        <w:rPr>
          <w:color w:val="auto"/>
        </w:rPr>
        <w:instrText xml:space="preserve"> PAGEREF _Toc1043 \h </w:instrText>
      </w:r>
      <w:r>
        <w:rPr>
          <w:color w:val="auto"/>
        </w:rPr>
        <w:fldChar w:fldCharType="separate"/>
      </w:r>
      <w:r>
        <w:rPr>
          <w:color w:val="auto"/>
        </w:rPr>
        <w:t>61</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_Toc17239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九、缴纳保证金的银行凭证（如有）</w:t>
      </w:r>
      <w:r>
        <w:rPr>
          <w:color w:val="auto"/>
        </w:rPr>
        <w:tab/>
      </w:r>
      <w:r>
        <w:rPr>
          <w:color w:val="auto"/>
        </w:rPr>
        <w:fldChar w:fldCharType="begin"/>
      </w:r>
      <w:r>
        <w:rPr>
          <w:color w:val="auto"/>
        </w:rPr>
        <w:instrText xml:space="preserve"> PAGEREF _Toc17239 \h </w:instrText>
      </w:r>
      <w:r>
        <w:rPr>
          <w:color w:val="auto"/>
        </w:rPr>
        <w:fldChar w:fldCharType="separate"/>
      </w:r>
      <w:r>
        <w:rPr>
          <w:color w:val="auto"/>
        </w:rPr>
        <w:t>62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_Toc27080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十、偏离说明表</w:t>
      </w:r>
      <w:r>
        <w:rPr>
          <w:color w:val="auto"/>
        </w:rPr>
        <w:tab/>
      </w:r>
      <w:r>
        <w:rPr>
          <w:color w:val="auto"/>
        </w:rPr>
        <w:fldChar w:fldCharType="begin"/>
      </w:r>
      <w:r>
        <w:rPr>
          <w:color w:val="auto"/>
        </w:rPr>
        <w:instrText xml:space="preserve"> PAGEREF _Toc27080 \h </w:instrText>
      </w:r>
      <w:r>
        <w:rPr>
          <w:color w:val="auto"/>
        </w:rPr>
        <w:fldChar w:fldCharType="separate"/>
      </w:r>
      <w:r>
        <w:rPr>
          <w:color w:val="auto"/>
        </w:rPr>
        <w:t>63</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_Toc26159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kern w:val="0"/>
          <w:szCs w:val="21"/>
        </w:rPr>
        <w:t>十一、</w:t>
      </w:r>
      <w:r>
        <w:rPr>
          <w:rFonts w:hint="eastAsia" w:asciiTheme="minorEastAsia" w:hAnsiTheme="minorEastAsia" w:eastAsiaTheme="minorEastAsia" w:cstheme="minorEastAsia"/>
          <w:bCs/>
          <w:color w:val="auto"/>
          <w:szCs w:val="21"/>
        </w:rPr>
        <w:t xml:space="preserve">类似业绩一览表 </w:t>
      </w:r>
      <w:r>
        <w:rPr>
          <w:color w:val="auto"/>
        </w:rPr>
        <w:tab/>
      </w:r>
      <w:r>
        <w:rPr>
          <w:color w:val="auto"/>
        </w:rPr>
        <w:fldChar w:fldCharType="begin"/>
      </w:r>
      <w:r>
        <w:rPr>
          <w:color w:val="auto"/>
        </w:rPr>
        <w:instrText xml:space="preserve"> PAGEREF _Toc26159 \h </w:instrText>
      </w:r>
      <w:r>
        <w:rPr>
          <w:color w:val="auto"/>
        </w:rPr>
        <w:fldChar w:fldCharType="separate"/>
      </w:r>
      <w:r>
        <w:rPr>
          <w:color w:val="auto"/>
        </w:rPr>
        <w:t>64</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_Toc3191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zCs w:val="21"/>
        </w:rPr>
        <w:t>十二、拟投入项目组人员一览表</w:t>
      </w:r>
      <w:r>
        <w:rPr>
          <w:color w:val="auto"/>
        </w:rPr>
        <w:tab/>
      </w:r>
      <w:r>
        <w:rPr>
          <w:color w:val="auto"/>
        </w:rPr>
        <w:fldChar w:fldCharType="begin"/>
      </w:r>
      <w:r>
        <w:rPr>
          <w:color w:val="auto"/>
        </w:rPr>
        <w:instrText xml:space="preserve"> PAGEREF _Toc3191 \h </w:instrText>
      </w:r>
      <w:r>
        <w:rPr>
          <w:color w:val="auto"/>
        </w:rPr>
        <w:fldChar w:fldCharType="separate"/>
      </w:r>
      <w:r>
        <w:rPr>
          <w:color w:val="auto"/>
        </w:rPr>
        <w:t>65</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_Toc18195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kern w:val="0"/>
          <w:szCs w:val="21"/>
        </w:rPr>
        <w:t>十三、</w:t>
      </w:r>
      <w:r>
        <w:rPr>
          <w:rFonts w:hint="eastAsia" w:asciiTheme="minorEastAsia" w:hAnsiTheme="minorEastAsia" w:eastAsiaTheme="minorEastAsia" w:cstheme="minorEastAsia"/>
          <w:bCs/>
          <w:color w:val="auto"/>
          <w:szCs w:val="21"/>
        </w:rPr>
        <w:t>供应商的资格声明</w:t>
      </w:r>
      <w:r>
        <w:rPr>
          <w:color w:val="auto"/>
        </w:rPr>
        <w:tab/>
      </w:r>
      <w:r>
        <w:rPr>
          <w:color w:val="auto"/>
        </w:rPr>
        <w:fldChar w:fldCharType="begin"/>
      </w:r>
      <w:r>
        <w:rPr>
          <w:color w:val="auto"/>
        </w:rPr>
        <w:instrText xml:space="preserve"> PAGEREF _Toc18195 \h </w:instrText>
      </w:r>
      <w:r>
        <w:rPr>
          <w:color w:val="auto"/>
        </w:rPr>
        <w:fldChar w:fldCharType="separate"/>
      </w:r>
      <w:r>
        <w:rPr>
          <w:color w:val="auto"/>
        </w:rPr>
        <w:t>66</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_Toc20247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kern w:val="0"/>
          <w:szCs w:val="21"/>
        </w:rPr>
        <w:t>十四、</w:t>
      </w:r>
      <w:r>
        <w:rPr>
          <w:rFonts w:hint="eastAsia" w:asciiTheme="minorEastAsia" w:hAnsiTheme="minorEastAsia" w:eastAsiaTheme="minorEastAsia" w:cstheme="minorEastAsia"/>
          <w:bCs/>
          <w:color w:val="auto"/>
          <w:szCs w:val="21"/>
        </w:rPr>
        <w:t>资格证明文件</w:t>
      </w:r>
      <w:r>
        <w:rPr>
          <w:color w:val="auto"/>
        </w:rPr>
        <w:tab/>
      </w:r>
      <w:r>
        <w:rPr>
          <w:color w:val="auto"/>
        </w:rPr>
        <w:fldChar w:fldCharType="begin"/>
      </w:r>
      <w:r>
        <w:rPr>
          <w:color w:val="auto"/>
        </w:rPr>
        <w:instrText xml:space="preserve"> PAGEREF _Toc20247 \h </w:instrText>
      </w:r>
      <w:r>
        <w:rPr>
          <w:color w:val="auto"/>
        </w:rPr>
        <w:fldChar w:fldCharType="separate"/>
      </w:r>
      <w:r>
        <w:rPr>
          <w:color w:val="auto"/>
        </w:rPr>
        <w:t>67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_Toc3825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kern w:val="0"/>
          <w:szCs w:val="21"/>
        </w:rPr>
        <w:t>十五、报价技术文件</w:t>
      </w:r>
      <w:r>
        <w:rPr>
          <w:color w:val="auto"/>
        </w:rPr>
        <w:tab/>
      </w:r>
      <w:r>
        <w:rPr>
          <w:color w:val="auto"/>
        </w:rPr>
        <w:fldChar w:fldCharType="begin"/>
      </w:r>
      <w:r>
        <w:rPr>
          <w:color w:val="auto"/>
        </w:rPr>
        <w:instrText xml:space="preserve"> PAGEREF _Toc3825 \h </w:instrText>
      </w:r>
      <w:r>
        <w:rPr>
          <w:color w:val="auto"/>
        </w:rPr>
        <w:fldChar w:fldCharType="separate"/>
      </w:r>
      <w:r>
        <w:rPr>
          <w:color w:val="auto"/>
        </w:rPr>
        <w:t>67</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_Toc2404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rPr>
        <w:t>十六、</w:t>
      </w:r>
      <w:r>
        <w:rPr>
          <w:rFonts w:hint="eastAsia" w:asciiTheme="minorEastAsia" w:hAnsiTheme="minorEastAsia" w:eastAsiaTheme="minorEastAsia" w:cstheme="minorEastAsia"/>
          <w:color w:val="auto"/>
          <w:lang w:val="zh-CN"/>
        </w:rPr>
        <w:t>中小企业声明函（</w:t>
      </w:r>
      <w:r>
        <w:rPr>
          <w:rFonts w:hint="eastAsia" w:asciiTheme="minorEastAsia" w:hAnsiTheme="minorEastAsia" w:eastAsiaTheme="minorEastAsia" w:cstheme="minorEastAsia"/>
          <w:color w:val="auto"/>
        </w:rPr>
        <w:t>货物</w:t>
      </w:r>
      <w:r>
        <w:rPr>
          <w:rFonts w:hint="eastAsia" w:asciiTheme="minorEastAsia" w:hAnsiTheme="minorEastAsia" w:eastAsiaTheme="minorEastAsia" w:cstheme="minorEastAsia"/>
          <w:color w:val="auto"/>
          <w:lang w:val="zh-CN"/>
        </w:rPr>
        <w:t>）（若</w:t>
      </w:r>
      <w:r>
        <w:rPr>
          <w:rFonts w:hint="eastAsia" w:asciiTheme="minorEastAsia" w:hAnsiTheme="minorEastAsia" w:eastAsiaTheme="minorEastAsia" w:cstheme="minorEastAsia"/>
          <w:color w:val="auto"/>
        </w:rPr>
        <w:t>符合</w:t>
      </w:r>
      <w:r>
        <w:rPr>
          <w:rFonts w:hint="eastAsia" w:asciiTheme="minorEastAsia" w:hAnsiTheme="minorEastAsia" w:eastAsiaTheme="minorEastAsia" w:cstheme="minorEastAsia"/>
          <w:color w:val="auto"/>
          <w:lang w:val="zh-CN"/>
        </w:rPr>
        <w:t>）</w:t>
      </w:r>
      <w:r>
        <w:rPr>
          <w:color w:val="auto"/>
        </w:rPr>
        <w:tab/>
      </w:r>
      <w:r>
        <w:rPr>
          <w:color w:val="auto"/>
        </w:rPr>
        <w:fldChar w:fldCharType="begin"/>
      </w:r>
      <w:r>
        <w:rPr>
          <w:color w:val="auto"/>
        </w:rPr>
        <w:instrText xml:space="preserve"> PAGEREF _Toc2404 \h </w:instrText>
      </w:r>
      <w:r>
        <w:rPr>
          <w:color w:val="auto"/>
        </w:rPr>
        <w:fldChar w:fldCharType="separate"/>
      </w:r>
      <w:r>
        <w:rPr>
          <w:color w:val="auto"/>
        </w:rPr>
        <w:t>68</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_Toc26357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pacing w:val="6"/>
          <w:szCs w:val="21"/>
        </w:rPr>
        <w:t>十七、</w:t>
      </w:r>
      <w:r>
        <w:rPr>
          <w:rFonts w:hint="eastAsia" w:asciiTheme="minorEastAsia" w:hAnsiTheme="minorEastAsia" w:eastAsiaTheme="minorEastAsia" w:cstheme="minorEastAsia"/>
          <w:bCs/>
          <w:color w:val="auto"/>
          <w:lang w:val="zh-CN"/>
        </w:rPr>
        <w:t>监狱企业证</w:t>
      </w:r>
      <w:r>
        <w:rPr>
          <w:rFonts w:hint="eastAsia" w:asciiTheme="minorEastAsia" w:hAnsiTheme="minorEastAsia" w:eastAsiaTheme="minorEastAsia" w:cstheme="minorEastAsia"/>
          <w:color w:val="auto"/>
          <w:lang w:val="zh-CN"/>
        </w:rPr>
        <w:t>明文</w:t>
      </w:r>
      <w:r>
        <w:rPr>
          <w:rFonts w:hint="eastAsia" w:asciiTheme="minorEastAsia" w:hAnsiTheme="minorEastAsia" w:eastAsiaTheme="minorEastAsia" w:cstheme="minorEastAsia"/>
          <w:color w:val="auto"/>
        </w:rPr>
        <w:t>件</w:t>
      </w:r>
      <w:r>
        <w:rPr>
          <w:rFonts w:hint="eastAsia" w:asciiTheme="minorEastAsia" w:hAnsiTheme="minorEastAsia" w:eastAsiaTheme="minorEastAsia" w:cstheme="minorEastAsia"/>
          <w:color w:val="auto"/>
          <w:lang w:val="zh-CN"/>
        </w:rPr>
        <w:t>（若</w:t>
      </w:r>
      <w:r>
        <w:rPr>
          <w:rFonts w:hint="eastAsia" w:asciiTheme="minorEastAsia" w:hAnsiTheme="minorEastAsia" w:eastAsiaTheme="minorEastAsia" w:cstheme="minorEastAsia"/>
          <w:color w:val="auto"/>
        </w:rPr>
        <w:t>符合</w:t>
      </w:r>
      <w:r>
        <w:rPr>
          <w:rFonts w:hint="eastAsia" w:asciiTheme="minorEastAsia" w:hAnsiTheme="minorEastAsia" w:eastAsiaTheme="minorEastAsia" w:cstheme="minorEastAsia"/>
          <w:color w:val="auto"/>
          <w:lang w:val="zh-CN"/>
        </w:rPr>
        <w:t>）</w:t>
      </w:r>
      <w:r>
        <w:rPr>
          <w:color w:val="auto"/>
        </w:rPr>
        <w:tab/>
      </w:r>
      <w:r>
        <w:rPr>
          <w:color w:val="auto"/>
        </w:rPr>
        <w:fldChar w:fldCharType="begin"/>
      </w:r>
      <w:r>
        <w:rPr>
          <w:color w:val="auto"/>
        </w:rPr>
        <w:instrText xml:space="preserve"> PAGEREF _Toc26357 \h </w:instrText>
      </w:r>
      <w:r>
        <w:rPr>
          <w:color w:val="auto"/>
        </w:rPr>
        <w:fldChar w:fldCharType="separate"/>
      </w:r>
      <w:r>
        <w:rPr>
          <w:color w:val="auto"/>
        </w:rPr>
        <w:t>70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_Toc14005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rPr>
        <w:t>十八、</w:t>
      </w:r>
      <w:r>
        <w:rPr>
          <w:rFonts w:hint="eastAsia" w:asciiTheme="minorEastAsia" w:hAnsiTheme="minorEastAsia" w:eastAsiaTheme="minorEastAsia" w:cstheme="minorEastAsia"/>
          <w:color w:val="auto"/>
          <w:lang w:val="zh-CN"/>
        </w:rPr>
        <w:t>残疾人福利性单位声明函（若</w:t>
      </w:r>
      <w:r>
        <w:rPr>
          <w:rFonts w:hint="eastAsia" w:asciiTheme="minorEastAsia" w:hAnsiTheme="minorEastAsia" w:eastAsiaTheme="minorEastAsia" w:cstheme="minorEastAsia"/>
          <w:color w:val="auto"/>
        </w:rPr>
        <w:t>符合</w:t>
      </w:r>
      <w:r>
        <w:rPr>
          <w:rFonts w:hint="eastAsia" w:asciiTheme="minorEastAsia" w:hAnsiTheme="minorEastAsia" w:eastAsiaTheme="minorEastAsia" w:cstheme="minorEastAsia"/>
          <w:color w:val="auto"/>
          <w:lang w:val="zh-CN"/>
        </w:rPr>
        <w:t>）</w:t>
      </w:r>
      <w:r>
        <w:rPr>
          <w:color w:val="auto"/>
        </w:rPr>
        <w:tab/>
      </w:r>
      <w:r>
        <w:rPr>
          <w:color w:val="auto"/>
        </w:rPr>
        <w:fldChar w:fldCharType="begin"/>
      </w:r>
      <w:r>
        <w:rPr>
          <w:color w:val="auto"/>
        </w:rPr>
        <w:instrText xml:space="preserve"> PAGEREF _Toc14005 \h </w:instrText>
      </w:r>
      <w:r>
        <w:rPr>
          <w:color w:val="auto"/>
        </w:rPr>
        <w:fldChar w:fldCharType="separate"/>
      </w:r>
      <w:r>
        <w:rPr>
          <w:color w:val="auto"/>
        </w:rPr>
        <w:t>70</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_Toc24717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rPr>
        <w:t>十九、节能环保产品证明材料（若符合）</w:t>
      </w:r>
      <w:r>
        <w:rPr>
          <w:color w:val="auto"/>
        </w:rPr>
        <w:tab/>
      </w:r>
      <w:r>
        <w:rPr>
          <w:color w:val="auto"/>
        </w:rPr>
        <w:fldChar w:fldCharType="begin"/>
      </w:r>
      <w:r>
        <w:rPr>
          <w:color w:val="auto"/>
        </w:rPr>
        <w:instrText xml:space="preserve"> PAGEREF _Toc24717 \h </w:instrText>
      </w:r>
      <w:r>
        <w:rPr>
          <w:color w:val="auto"/>
        </w:rPr>
        <w:fldChar w:fldCharType="separate"/>
      </w:r>
      <w:r>
        <w:rPr>
          <w:color w:val="auto"/>
        </w:rPr>
        <w:t>71</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_Toc24678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spacing w:val="6"/>
          <w:szCs w:val="21"/>
        </w:rPr>
        <w:t>二十、</w:t>
      </w:r>
      <w:r>
        <w:rPr>
          <w:rFonts w:hint="eastAsia" w:asciiTheme="minorEastAsia" w:hAnsiTheme="minorEastAsia" w:eastAsiaTheme="minorEastAsia" w:cstheme="minorEastAsia"/>
          <w:color w:val="auto"/>
        </w:rPr>
        <w:t>无重大违法记录声明</w:t>
      </w:r>
      <w:r>
        <w:rPr>
          <w:color w:val="auto"/>
        </w:rPr>
        <w:tab/>
      </w:r>
      <w:r>
        <w:rPr>
          <w:color w:val="auto"/>
        </w:rPr>
        <w:fldChar w:fldCharType="begin"/>
      </w:r>
      <w:r>
        <w:rPr>
          <w:color w:val="auto"/>
        </w:rPr>
        <w:instrText xml:space="preserve"> PAGEREF _Toc24678 \h </w:instrText>
      </w:r>
      <w:r>
        <w:rPr>
          <w:color w:val="auto"/>
        </w:rPr>
        <w:fldChar w:fldCharType="separate"/>
      </w:r>
      <w:r>
        <w:rPr>
          <w:color w:val="auto"/>
        </w:rPr>
        <w:t>72</w:t>
      </w:r>
      <w:r>
        <w:rPr>
          <w:color w:val="auto"/>
        </w:rPr>
        <w:fldChar w:fldCharType="end"/>
      </w:r>
      <w:r>
        <w:rPr>
          <w:rFonts w:hint="eastAsia" w:asciiTheme="minorEastAsia" w:hAnsiTheme="minorEastAsia" w:eastAsiaTheme="minorEastAsia" w:cstheme="minorEastAsia"/>
          <w:color w:val="auto"/>
          <w:szCs w:val="21"/>
        </w:rPr>
        <w:fldChar w:fldCharType="end"/>
      </w:r>
    </w:p>
    <w:p>
      <w:pPr>
        <w:pStyle w:val="24"/>
        <w:tabs>
          <w:tab w:val="right" w:leader="dot" w:pos="9072"/>
        </w:tabs>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\l _Toc20138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bCs/>
          <w:color w:val="auto"/>
          <w:kern w:val="0"/>
          <w:szCs w:val="21"/>
          <w:shd w:val="clear" w:color="auto" w:fill="FFFFFF"/>
        </w:rPr>
        <w:t xml:space="preserve">二十一、磋商供应商认为应该提交的其它文件（格式自拟） </w:t>
      </w:r>
      <w:r>
        <w:rPr>
          <w:color w:val="auto"/>
        </w:rPr>
        <w:tab/>
      </w:r>
      <w:r>
        <w:rPr>
          <w:color w:val="auto"/>
        </w:rPr>
        <w:fldChar w:fldCharType="begin"/>
      </w:r>
      <w:r>
        <w:rPr>
          <w:color w:val="auto"/>
        </w:rPr>
        <w:instrText xml:space="preserve"> PAGEREF _Toc20138 \h </w:instrText>
      </w:r>
      <w:r>
        <w:rPr>
          <w:color w:val="auto"/>
        </w:rPr>
        <w:fldChar w:fldCharType="separate"/>
      </w:r>
      <w:r>
        <w:rPr>
          <w:color w:val="auto"/>
        </w:rPr>
        <w:t>74</w:t>
      </w:r>
      <w:r>
        <w:rPr>
          <w:color w:val="auto"/>
        </w:rPr>
        <w:fldChar w:fldCharType="end"/>
      </w:r>
      <w:r>
        <w:rPr>
          <w:rFonts w:hint="eastAsia" w:asciiTheme="minorEastAsia" w:hAnsiTheme="minorEastAsia" w:eastAsiaTheme="minorEastAsia" w:cstheme="minorEastAsia"/>
          <w:color w:val="auto"/>
          <w:szCs w:val="21"/>
        </w:rPr>
        <w:fldChar w:fldCharType="end"/>
      </w:r>
    </w:p>
    <w:p>
      <w:pPr>
        <w:spacing w:line="360" w:lineRule="auto"/>
        <w:jc w:val="left"/>
        <w:rPr>
          <w:rFonts w:asciiTheme="minorEastAsia" w:hAnsiTheme="minorEastAsia" w:eastAsiaTheme="minorEastAsia" w:cstheme="minorEastAsia"/>
          <w:color w:val="auto"/>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color w:val="auto"/>
          <w:szCs w:val="21"/>
        </w:rPr>
        <w:fldChar w:fldCharType="end"/>
      </w:r>
    </w:p>
    <w:p>
      <w:pPr>
        <w:spacing w:line="360" w:lineRule="auto"/>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36"/>
          <w:szCs w:val="36"/>
        </w:rPr>
        <w:br w:type="page"/>
      </w:r>
    </w:p>
    <w:p>
      <w:pPr>
        <w:numPr>
          <w:ilvl w:val="0"/>
          <w:numId w:val="5"/>
        </w:numPr>
        <w:spacing w:line="360" w:lineRule="auto"/>
        <w:jc w:val="center"/>
        <w:outlineLvl w:val="0"/>
        <w:rPr>
          <w:b/>
          <w:bCs/>
          <w:color w:val="auto"/>
          <w:sz w:val="24"/>
        </w:rPr>
      </w:pPr>
      <w:bookmarkStart w:id="0" w:name="_Toc6866"/>
      <w:bookmarkStart w:id="1" w:name="_Toc115"/>
      <w:r>
        <w:rPr>
          <w:rFonts w:hint="eastAsia" w:ascii="宋体" w:hAnsi="宋体" w:cs="宋体"/>
          <w:b/>
          <w:color w:val="auto"/>
          <w:sz w:val="36"/>
          <w:szCs w:val="36"/>
        </w:rPr>
        <w:t>竞争性磋商公告</w:t>
      </w:r>
      <w:bookmarkEnd w:id="0"/>
      <w:bookmarkEnd w:id="1"/>
      <w:bookmarkStart w:id="2" w:name="_Toc179632528"/>
      <w:bookmarkStart w:id="3" w:name="_Toc144974480"/>
      <w:bookmarkStart w:id="4" w:name="_Toc152042288"/>
      <w:bookmarkStart w:id="5" w:name="_Toc524908844"/>
      <w:bookmarkStart w:id="6" w:name="_Toc9976"/>
      <w:bookmarkStart w:id="7" w:name="_Toc152045512"/>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auto"/>
          <w:szCs w:val="21"/>
        </w:rPr>
      </w:pPr>
      <w:r>
        <w:rPr>
          <w:rFonts w:hint="eastAsia" w:ascii="宋体" w:hAnsi="宋体" w:cs="宋体"/>
          <w:b/>
          <w:bCs/>
          <w:color w:val="auto"/>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auto"/>
          <w:szCs w:val="21"/>
        </w:rPr>
      </w:pPr>
      <w:r>
        <w:rPr>
          <w:rFonts w:hint="eastAsia" w:ascii="宋体" w:hAnsi="宋体" w:cs="宋体"/>
          <w:color w:val="auto"/>
          <w:szCs w:val="21"/>
          <w:u w:val="single"/>
          <w:lang w:eastAsia="zh-CN"/>
        </w:rPr>
        <w:t>湖北工业大学工程2号楼标准化考场建设项目（二次）</w:t>
      </w:r>
      <w:r>
        <w:rPr>
          <w:rFonts w:hint="eastAsia" w:ascii="宋体" w:hAnsi="宋体" w:cs="宋体"/>
          <w:color w:val="auto"/>
          <w:szCs w:val="21"/>
        </w:rPr>
        <w:t>采购项目的潜在供应商应在</w:t>
      </w:r>
      <w:r>
        <w:rPr>
          <w:rFonts w:hint="eastAsia" w:ascii="宋体" w:hAnsi="宋体" w:cs="宋体"/>
          <w:color w:val="auto"/>
          <w:szCs w:val="21"/>
          <w:u w:val="single"/>
        </w:rPr>
        <w:t xml:space="preserve"> 线上 </w:t>
      </w:r>
      <w:r>
        <w:rPr>
          <w:rFonts w:hint="eastAsia" w:ascii="宋体" w:hAnsi="宋体" w:cs="宋体"/>
          <w:color w:val="auto"/>
          <w:szCs w:val="21"/>
        </w:rPr>
        <w:t>获取采购文件，并于</w:t>
      </w:r>
      <w:r>
        <w:rPr>
          <w:rFonts w:hint="eastAsia" w:ascii="宋体" w:hAnsi="宋体" w:cs="宋体"/>
          <w:color w:val="auto"/>
          <w:szCs w:val="21"/>
          <w:u w:val="single"/>
        </w:rPr>
        <w:t>202</w:t>
      </w:r>
      <w:r>
        <w:rPr>
          <w:rFonts w:hint="eastAsia" w:ascii="宋体" w:hAnsi="宋体" w:cs="宋体"/>
          <w:color w:val="auto"/>
          <w:szCs w:val="21"/>
          <w:u w:val="single"/>
          <w:lang w:val="en-US" w:eastAsia="zh-CN"/>
        </w:rPr>
        <w:t>3</w:t>
      </w:r>
      <w:r>
        <w:rPr>
          <w:rFonts w:hint="eastAsia" w:ascii="宋体" w:hAnsi="宋体" w:cs="宋体"/>
          <w:color w:val="auto"/>
          <w:szCs w:val="21"/>
          <w:u w:val="single"/>
        </w:rPr>
        <w:t>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24</w:t>
      </w:r>
      <w:r>
        <w:rPr>
          <w:rFonts w:hint="eastAsia" w:ascii="宋体" w:hAnsi="宋体" w:cs="宋体"/>
          <w:color w:val="auto"/>
          <w:szCs w:val="21"/>
          <w:u w:val="single"/>
        </w:rPr>
        <w:t>日</w:t>
      </w:r>
      <w:r>
        <w:rPr>
          <w:rFonts w:hint="eastAsia" w:ascii="宋体" w:hAnsi="宋体" w:cs="宋体"/>
          <w:color w:val="auto"/>
          <w:szCs w:val="21"/>
          <w:u w:val="single"/>
          <w:lang w:val="en-US" w:eastAsia="zh-CN"/>
        </w:rPr>
        <w:t>10</w:t>
      </w:r>
      <w:r>
        <w:rPr>
          <w:rFonts w:hint="eastAsia" w:ascii="宋体" w:hAnsi="宋体" w:cs="宋体"/>
          <w:color w:val="auto"/>
          <w:szCs w:val="21"/>
          <w:u w:val="single"/>
        </w:rPr>
        <w:t>点</w:t>
      </w:r>
      <w:r>
        <w:rPr>
          <w:rFonts w:hint="eastAsia" w:ascii="宋体" w:hAnsi="宋体" w:cs="宋体"/>
          <w:color w:val="auto"/>
          <w:szCs w:val="21"/>
          <w:u w:val="single"/>
          <w:lang w:val="en-US" w:eastAsia="zh-CN"/>
        </w:rPr>
        <w:t>00</w:t>
      </w:r>
      <w:r>
        <w:rPr>
          <w:rFonts w:hint="eastAsia" w:ascii="宋体" w:hAnsi="宋体" w:cs="宋体"/>
          <w:color w:val="auto"/>
          <w:szCs w:val="21"/>
          <w:u w:val="single"/>
        </w:rPr>
        <w:t>分</w:t>
      </w:r>
      <w:r>
        <w:rPr>
          <w:rFonts w:hint="eastAsia" w:ascii="宋体" w:hAnsi="宋体" w:cs="宋体"/>
          <w:color w:val="auto"/>
          <w:szCs w:val="21"/>
        </w:rPr>
        <w:t>（北京时间）前递交响应文件。</w:t>
      </w:r>
    </w:p>
    <w:p>
      <w:pPr>
        <w:pStyle w:val="4"/>
        <w:numPr>
          <w:ilvl w:val="0"/>
          <w:numId w:val="6"/>
        </w:numPr>
        <w:spacing w:line="360" w:lineRule="auto"/>
        <w:jc w:val="left"/>
        <w:rPr>
          <w:rFonts w:ascii="宋体" w:hAnsi="宋体" w:eastAsia="宋体" w:cs="宋体"/>
          <w:color w:val="auto"/>
          <w:sz w:val="21"/>
          <w:szCs w:val="21"/>
        </w:rPr>
      </w:pPr>
      <w:bookmarkStart w:id="8" w:name="_Toc7854"/>
      <w:r>
        <w:rPr>
          <w:rFonts w:hint="eastAsia" w:ascii="宋体" w:hAnsi="宋体" w:eastAsia="宋体" w:cs="宋体"/>
          <w:color w:val="auto"/>
          <w:sz w:val="21"/>
          <w:szCs w:val="21"/>
        </w:rPr>
        <w:t>项目基本情况</w:t>
      </w:r>
      <w:bookmarkEnd w:id="8"/>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1.项目编号：HGDXW22-098/ZCHM-ZC-202211-155</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2.采购计划备案号：420000-2022-16634</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3.项目名称：</w:t>
      </w:r>
      <w:r>
        <w:rPr>
          <w:rFonts w:hint="eastAsia" w:asciiTheme="minorEastAsia" w:hAnsiTheme="minorEastAsia" w:eastAsiaTheme="minorEastAsia" w:cstheme="minorEastAsia"/>
          <w:color w:val="auto"/>
          <w:szCs w:val="21"/>
          <w:lang w:eastAsia="zh-CN"/>
        </w:rPr>
        <w:t>湖北工业大学工程2号楼标准化考场建设项目（二次）</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4.采购方式：竞争性磋商</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5.预算金额：人民币</w:t>
      </w:r>
      <w:r>
        <w:rPr>
          <w:rFonts w:hint="eastAsia" w:asciiTheme="minorEastAsia" w:hAnsiTheme="minorEastAsia" w:eastAsiaTheme="minorEastAsia" w:cstheme="minorEastAsia"/>
          <w:color w:val="auto"/>
          <w:szCs w:val="21"/>
          <w:u w:val="single"/>
        </w:rPr>
        <w:t xml:space="preserve"> 131.514 </w:t>
      </w:r>
      <w:r>
        <w:rPr>
          <w:rFonts w:hint="eastAsia" w:asciiTheme="minorEastAsia" w:hAnsiTheme="minorEastAsia" w:eastAsiaTheme="minorEastAsia" w:cstheme="minorEastAsia"/>
          <w:color w:val="auto"/>
          <w:szCs w:val="21"/>
        </w:rPr>
        <w:t>万元</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6.最高限价：人民币</w:t>
      </w:r>
      <w:r>
        <w:rPr>
          <w:rFonts w:hint="eastAsia" w:asciiTheme="minorEastAsia" w:hAnsiTheme="minorEastAsia" w:eastAsiaTheme="minorEastAsia" w:cstheme="minorEastAsia"/>
          <w:color w:val="auto"/>
          <w:szCs w:val="21"/>
          <w:u w:val="single"/>
        </w:rPr>
        <w:t xml:space="preserve"> 131.514 </w:t>
      </w:r>
      <w:r>
        <w:rPr>
          <w:rFonts w:hint="eastAsia" w:asciiTheme="minorEastAsia" w:hAnsiTheme="minorEastAsia" w:eastAsiaTheme="minorEastAsia" w:cstheme="minorEastAsia"/>
          <w:color w:val="auto"/>
          <w:szCs w:val="21"/>
        </w:rPr>
        <w:t>万元</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采购需求：本项目共为1个包。包含：标准化考场半球摄像机及拾音器、存储卡、安装盒、网络硬盘录像机（含硬盘）、网络时钟、16口接入交换机、屏蔽终端、无线信号侦测器（含配件）、作弊防控系统管理平台、手机信号屏蔽终端等； (详见采购文件第三章“项目采购需求”）</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（1）类别：货物</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（2）质量标准：达到国家或行业颁布的其他现行各项技术标准和验收规范规定</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color w:val="auto"/>
          <w:szCs w:val="21"/>
        </w:rPr>
      </w:pPr>
      <w:r>
        <w:rPr>
          <w:rFonts w:hint="eastAsia" w:ascii="宋体" w:hAnsi="宋体" w:cs="宋体"/>
          <w:color w:val="auto"/>
          <w:szCs w:val="21"/>
        </w:rPr>
        <w:t>8.合同履行期限：</w:t>
      </w:r>
      <w:r>
        <w:rPr>
          <w:rFonts w:hint="eastAsia" w:ascii="宋体" w:hAnsi="宋体" w:cs="宋体"/>
          <w:color w:val="auto"/>
          <w:szCs w:val="21"/>
          <w:u w:val="single"/>
        </w:rPr>
        <w:t>交货期：</w:t>
      </w:r>
      <w:r>
        <w:rPr>
          <w:rFonts w:hint="eastAsia" w:ascii="宋体" w:hAnsi="宋体" w:cs="宋体"/>
          <w:color w:val="auto"/>
          <w:szCs w:val="21"/>
          <w:highlight w:val="none"/>
          <w:u w:val="single"/>
          <w:lang w:val="en-US" w:eastAsia="zh-CN"/>
        </w:rPr>
        <w:t>合同签订后15日历天内</w:t>
      </w:r>
      <w:r>
        <w:rPr>
          <w:rFonts w:hint="eastAsia" w:ascii="宋体" w:hAnsi="宋体" w:cs="宋体"/>
          <w:color w:val="auto"/>
          <w:szCs w:val="21"/>
          <w:u w:val="single"/>
        </w:rPr>
        <w:t>完成全部货物（含配套系统、配件备件）的安装调试工作。质保期/保修期：验收合格之日起5年（包括设备及软件）</w:t>
      </w:r>
      <w:r>
        <w:rPr>
          <w:rFonts w:hint="eastAsia" w:ascii="宋体" w:hAnsi="宋体" w:cs="宋体"/>
          <w:color w:val="auto"/>
          <w:szCs w:val="21"/>
          <w:u w:val="single"/>
          <w:lang w:eastAsia="zh-CN"/>
        </w:rPr>
        <w:t>。</w:t>
      </w:r>
      <w:r>
        <w:rPr>
          <w:rFonts w:hint="eastAsia" w:ascii="宋体" w:hAnsi="宋体" w:cs="宋体"/>
          <w:color w:val="auto"/>
          <w:szCs w:val="21"/>
          <w:u w:val="single"/>
        </w:rPr>
        <w:t xml:space="preserve">                 </w:t>
      </w:r>
    </w:p>
    <w:p>
      <w:pPr>
        <w:spacing w:line="360" w:lineRule="auto"/>
        <w:jc w:val="left"/>
        <w:rPr>
          <w:rFonts w:ascii="宋体" w:hAnsi="宋体" w:cs="宋体"/>
          <w:color w:val="auto"/>
          <w:szCs w:val="21"/>
          <w:highlight w:val="yellow"/>
        </w:rPr>
      </w:pPr>
      <w:r>
        <w:rPr>
          <w:rFonts w:hint="eastAsia" w:ascii="宋体" w:hAnsi="宋体" w:cs="宋体"/>
          <w:color w:val="auto"/>
          <w:szCs w:val="21"/>
        </w:rPr>
        <w:t>9.本项目（是/否）接受联合体投标：否</w:t>
      </w:r>
    </w:p>
    <w:p>
      <w:pPr>
        <w:spacing w:line="360" w:lineRule="auto"/>
        <w:jc w:val="left"/>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10.是否可采购进口产品：否</w:t>
      </w:r>
    </w:p>
    <w:p>
      <w:pPr>
        <w:spacing w:line="360" w:lineRule="auto"/>
        <w:jc w:val="left"/>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11.本项目（是/否）专门面向中小微企业：</w:t>
      </w:r>
      <w:r>
        <w:rPr>
          <w:rFonts w:hint="eastAsia" w:asciiTheme="minorEastAsia" w:hAnsiTheme="minorEastAsia" w:eastAsiaTheme="minorEastAsia" w:cstheme="minorEastAsia"/>
          <w:color w:val="auto"/>
          <w:szCs w:val="21"/>
          <w:lang w:eastAsia="zh-CN"/>
        </w:rPr>
        <w:t>部分面向</w:t>
      </w:r>
    </w:p>
    <w:p>
      <w:pPr>
        <w:spacing w:line="360" w:lineRule="auto"/>
        <w:jc w:val="left"/>
        <w:rPr>
          <w:rFonts w:hint="eastAsia" w:asciiTheme="minorEastAsia" w:hAnsiTheme="minorEastAsia" w:eastAsiaTheme="minorEastAsia" w:cstheme="minorEastAsia"/>
          <w:b w:val="0"/>
          <w:bCs w:val="0"/>
          <w:color w:val="auto"/>
          <w:szCs w:val="21"/>
          <w:lang w:eastAsia="zh-CN"/>
        </w:rPr>
      </w:pPr>
      <w:r>
        <w:rPr>
          <w:rFonts w:hint="eastAsia" w:asciiTheme="minorEastAsia" w:hAnsiTheme="minorEastAsia" w:eastAsiaTheme="minorEastAsia" w:cstheme="minorEastAsia"/>
          <w:b w:val="0"/>
          <w:bCs w:val="0"/>
          <w:color w:val="auto"/>
          <w:szCs w:val="21"/>
          <w:lang w:val="en-US" w:eastAsia="zh-CN"/>
        </w:rPr>
        <w:t>12.</w:t>
      </w:r>
      <w:r>
        <w:rPr>
          <w:rFonts w:hint="eastAsia" w:asciiTheme="minorEastAsia" w:hAnsiTheme="minorEastAsia" w:eastAsiaTheme="minorEastAsia" w:cstheme="minorEastAsia"/>
          <w:b w:val="0"/>
          <w:bCs w:val="0"/>
          <w:color w:val="auto"/>
          <w:szCs w:val="21"/>
          <w:lang w:eastAsia="zh-CN"/>
        </w:rPr>
        <w:t xml:space="preserve">符合条件的小微企业价格扣除优惠为：10% </w:t>
      </w:r>
    </w:p>
    <w:p>
      <w:pPr>
        <w:pStyle w:val="4"/>
        <w:numPr>
          <w:ilvl w:val="0"/>
          <w:numId w:val="6"/>
        </w:numPr>
        <w:spacing w:line="360" w:lineRule="auto"/>
        <w:jc w:val="left"/>
        <w:rPr>
          <w:rFonts w:ascii="宋体" w:hAnsi="宋体" w:eastAsia="宋体" w:cs="宋体"/>
          <w:color w:val="auto"/>
          <w:sz w:val="21"/>
          <w:szCs w:val="21"/>
        </w:rPr>
      </w:pPr>
      <w:bookmarkStart w:id="9" w:name="_Toc30728"/>
      <w:r>
        <w:rPr>
          <w:rFonts w:hint="eastAsia" w:ascii="宋体" w:hAnsi="宋体" w:eastAsia="宋体" w:cs="宋体"/>
          <w:color w:val="auto"/>
          <w:sz w:val="21"/>
          <w:szCs w:val="21"/>
        </w:rPr>
        <w:t>申请人的资格要求</w:t>
      </w:r>
      <w:bookmarkEnd w:id="9"/>
    </w:p>
    <w:p>
      <w:pPr>
        <w:spacing w:line="360" w:lineRule="auto"/>
        <w:ind w:left="420" w:left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（4）有依法缴纳税收和社会保障资金的良好记录；</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（6）法律、行政法规规定的其他条件；</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4.未被列入失信被执行人、</w:t>
      </w:r>
      <w:r>
        <w:rPr>
          <w:rFonts w:hint="eastAsia" w:asciiTheme="minorEastAsia" w:hAnsiTheme="minorEastAsia" w:eastAsiaTheme="minorEastAsia" w:cstheme="minorEastAsia"/>
          <w:color w:val="auto"/>
          <w:szCs w:val="21"/>
          <w:lang w:eastAsia="zh-CN"/>
        </w:rPr>
        <w:t>重大税收违法失信主体</w:t>
      </w:r>
      <w:r>
        <w:rPr>
          <w:rFonts w:hint="eastAsia" w:asciiTheme="minorEastAsia" w:hAnsiTheme="minorEastAsia" w:eastAsiaTheme="minorEastAsia" w:cstheme="minorEastAsia"/>
          <w:color w:val="auto"/>
          <w:szCs w:val="21"/>
        </w:rPr>
        <w:t>，未被列入政府采购严重违法失信行为记录名单。</w:t>
      </w:r>
    </w:p>
    <w:p>
      <w:pPr>
        <w:spacing w:line="360" w:lineRule="auto"/>
        <w:ind w:firstLine="420" w:firstLineChars="200"/>
        <w:jc w:val="left"/>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5.落实政府采购政策需满足的资格要求：本项目整体非专门面向中小企业，即小微企业参与本项目可享受政府采购中小企业扶持政策，本项目企业划分标准所属行业为“工业”。</w:t>
      </w:r>
      <w:r>
        <w:rPr>
          <w:rFonts w:hint="eastAsia" w:asciiTheme="minorEastAsia" w:hAnsiTheme="minorEastAsia" w:eastAsiaTheme="minorEastAsia" w:cstheme="minorEastAsia"/>
          <w:color w:val="auto"/>
          <w:szCs w:val="21"/>
          <w:lang w:eastAsia="zh-CN"/>
        </w:rPr>
        <w:t>（另部分</w:t>
      </w:r>
      <w:r>
        <w:rPr>
          <w:rFonts w:hint="eastAsia" w:asciiTheme="minorEastAsia" w:hAnsiTheme="minorEastAsia" w:eastAsiaTheme="minorEastAsia" w:cstheme="minorEastAsia"/>
          <w:color w:val="auto"/>
          <w:szCs w:val="21"/>
        </w:rPr>
        <w:t>专门面向中小微企业</w:t>
      </w:r>
      <w:r>
        <w:rPr>
          <w:rFonts w:hint="eastAsia" w:asciiTheme="minorEastAsia" w:hAnsiTheme="minorEastAsia" w:eastAsiaTheme="minorEastAsia" w:cstheme="minorEastAsia"/>
          <w:color w:val="auto"/>
          <w:szCs w:val="21"/>
          <w:lang w:eastAsia="zh-CN"/>
        </w:rPr>
        <w:t>采购的内容详见第三章：采购需求）</w:t>
      </w:r>
    </w:p>
    <w:p>
      <w:pPr>
        <w:spacing w:line="360" w:lineRule="auto"/>
        <w:ind w:firstLine="422" w:firstLine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6.本项目的特定资格要求：</w:t>
      </w:r>
    </w:p>
    <w:p>
      <w:pPr>
        <w:tabs>
          <w:tab w:val="left" w:pos="7463"/>
        </w:tabs>
        <w:spacing w:line="360" w:lineRule="auto"/>
        <w:ind w:firstLine="420"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6.1供应商</w:t>
      </w:r>
      <w:r>
        <w:rPr>
          <w:rFonts w:hint="eastAsia" w:asciiTheme="minorEastAsia" w:hAnsiTheme="minorEastAsia" w:eastAsiaTheme="minorEastAsia" w:cstheme="minorEastAsia"/>
          <w:color w:val="auto"/>
          <w:szCs w:val="21"/>
          <w:lang w:val="en-US" w:eastAsia="zh-CN"/>
        </w:rPr>
        <w:t>须具有电子与智能化工程专业承包贰级及以上资质。</w:t>
      </w:r>
      <w:r>
        <w:rPr>
          <w:rFonts w:hint="eastAsia" w:asciiTheme="minorEastAsia" w:hAnsiTheme="minorEastAsia" w:eastAsiaTheme="minorEastAsia" w:cstheme="minorEastAsia"/>
          <w:color w:val="auto"/>
          <w:szCs w:val="21"/>
          <w:lang w:val="en-US" w:eastAsia="zh-CN"/>
        </w:rPr>
        <w:tab/>
      </w:r>
    </w:p>
    <w:p>
      <w:pPr>
        <w:spacing w:line="360" w:lineRule="auto"/>
        <w:ind w:firstLine="420"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6.2供应商</w:t>
      </w:r>
      <w:r>
        <w:rPr>
          <w:rFonts w:hint="eastAsia" w:asciiTheme="minorEastAsia" w:hAnsiTheme="minorEastAsia" w:eastAsiaTheme="minorEastAsia" w:cstheme="minorEastAsia"/>
          <w:color w:val="auto"/>
          <w:szCs w:val="21"/>
          <w:lang w:val="en-US" w:eastAsia="zh-CN"/>
        </w:rPr>
        <w:t>未被列入“信用中国”网站（www.creditchina.gov.cn）失信被执行人、</w:t>
      </w:r>
      <w:r>
        <w:rPr>
          <w:rFonts w:hint="eastAsia" w:asciiTheme="minorEastAsia" w:hAnsiTheme="minorEastAsia" w:eastAsiaTheme="minorEastAsia" w:cstheme="minorEastAsia"/>
          <w:color w:val="auto"/>
          <w:szCs w:val="21"/>
          <w:lang w:eastAsia="zh-CN"/>
        </w:rPr>
        <w:t>重大税收违法失信主体</w:t>
      </w:r>
      <w:r>
        <w:rPr>
          <w:rFonts w:hint="eastAsia" w:asciiTheme="minorEastAsia" w:hAnsiTheme="minorEastAsia" w:eastAsiaTheme="minorEastAsia" w:cstheme="minorEastAsia"/>
          <w:color w:val="auto"/>
          <w:szCs w:val="21"/>
          <w:lang w:val="en-US" w:eastAsia="zh-CN"/>
        </w:rPr>
        <w:t>、政府采购严重违法失信行为记录名单和“中国政府采购”网站（www.ccgp.gov.cn）政府采购严重违法失信行为记录名单（以投标截止当日代理机构现场查询结果为准）</w:t>
      </w:r>
      <w:r>
        <w:rPr>
          <w:rFonts w:hint="eastAsia" w:asciiTheme="minorEastAsia" w:hAnsiTheme="minorEastAsia" w:eastAsiaTheme="minorEastAsia" w:cstheme="minorEastAsia"/>
          <w:color w:val="auto"/>
          <w:szCs w:val="21"/>
          <w:lang w:val="en-US" w:eastAsia="zh-CN"/>
        </w:rPr>
        <w:t>。</w:t>
      </w:r>
    </w:p>
    <w:p>
      <w:pPr>
        <w:pStyle w:val="4"/>
        <w:numPr>
          <w:ilvl w:val="0"/>
          <w:numId w:val="6"/>
        </w:numPr>
        <w:spacing w:line="360" w:lineRule="auto"/>
        <w:jc w:val="left"/>
        <w:rPr>
          <w:rFonts w:ascii="宋体" w:hAnsi="宋体" w:eastAsia="宋体" w:cs="宋体"/>
          <w:color w:val="auto"/>
          <w:sz w:val="21"/>
          <w:szCs w:val="21"/>
        </w:rPr>
      </w:pPr>
      <w:bookmarkStart w:id="10" w:name="_Toc25995"/>
      <w:bookmarkStart w:id="11" w:name="_Toc334539185"/>
      <w:r>
        <w:rPr>
          <w:rFonts w:hint="eastAsia" w:ascii="宋体" w:hAnsi="宋体" w:eastAsia="宋体" w:cs="宋体"/>
          <w:color w:val="auto"/>
          <w:sz w:val="21"/>
          <w:szCs w:val="21"/>
        </w:rPr>
        <w:t>获取采购文件</w:t>
      </w:r>
      <w:bookmarkEnd w:id="10"/>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时间：</w:t>
      </w:r>
      <w:r>
        <w:rPr>
          <w:rFonts w:hint="eastAsia" w:ascii="宋体" w:hAnsi="宋体" w:cs="宋体"/>
          <w:color w:val="auto"/>
          <w:szCs w:val="21"/>
          <w:u w:val="single"/>
        </w:rPr>
        <w:t>202</w:t>
      </w:r>
      <w:r>
        <w:rPr>
          <w:rFonts w:hint="eastAsia" w:ascii="宋体" w:hAnsi="宋体" w:cs="宋体"/>
          <w:color w:val="auto"/>
          <w:szCs w:val="21"/>
          <w:u w:val="single"/>
          <w:lang w:val="en-US" w:eastAsia="zh-CN"/>
        </w:rPr>
        <w:t>3</w:t>
      </w:r>
      <w:r>
        <w:rPr>
          <w:rFonts w:hint="eastAsia" w:ascii="宋体" w:hAnsi="宋体" w:cs="宋体"/>
          <w:color w:val="auto"/>
          <w:szCs w:val="21"/>
          <w:u w:val="single"/>
        </w:rPr>
        <w:t>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13</w:t>
      </w:r>
      <w:r>
        <w:rPr>
          <w:rFonts w:hint="eastAsia" w:ascii="宋体" w:hAnsi="宋体" w:cs="宋体"/>
          <w:color w:val="auto"/>
          <w:szCs w:val="21"/>
          <w:u w:val="single"/>
        </w:rPr>
        <w:t>日至202</w:t>
      </w:r>
      <w:r>
        <w:rPr>
          <w:rFonts w:hint="eastAsia" w:ascii="宋体" w:hAnsi="宋体" w:cs="宋体"/>
          <w:color w:val="auto"/>
          <w:szCs w:val="21"/>
          <w:u w:val="single"/>
          <w:lang w:val="en-US" w:eastAsia="zh-CN"/>
        </w:rPr>
        <w:t>3</w:t>
      </w:r>
      <w:r>
        <w:rPr>
          <w:rFonts w:hint="eastAsia" w:ascii="宋体" w:hAnsi="宋体" w:cs="宋体"/>
          <w:color w:val="auto"/>
          <w:szCs w:val="21"/>
          <w:u w:val="single"/>
        </w:rPr>
        <w:t>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19</w:t>
      </w:r>
      <w:r>
        <w:rPr>
          <w:rFonts w:hint="eastAsia" w:ascii="宋体" w:hAnsi="宋体" w:cs="宋体"/>
          <w:color w:val="auto"/>
          <w:szCs w:val="21"/>
          <w:u w:val="single"/>
        </w:rPr>
        <w:t>日</w:t>
      </w:r>
      <w:r>
        <w:rPr>
          <w:rFonts w:hint="eastAsia" w:ascii="宋体" w:hAnsi="宋体" w:cs="宋体"/>
          <w:color w:val="auto"/>
          <w:szCs w:val="21"/>
        </w:rPr>
        <w:t>，每天上午09:00至12:00，下午14:30至17:00（北京时间，法定节假日除外）</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地点：线上获取；</w:t>
      </w:r>
    </w:p>
    <w:bookmarkEnd w:id="11"/>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ascii="宋体" w:hAnsi="宋体" w:cs="宋体"/>
          <w:color w:val="auto"/>
          <w:szCs w:val="21"/>
        </w:rPr>
      </w:pPr>
      <w:r>
        <w:rPr>
          <w:rFonts w:hint="eastAsia" w:ascii="宋体" w:hAnsi="宋体" w:cs="宋体"/>
          <w:color w:val="auto"/>
          <w:szCs w:val="21"/>
        </w:rPr>
        <w:t>方式：采取网上获取文件的方式，请各供应商将以下附件资料加盖公章扫描后传至3265768009@qq.com（邮件主题名称必须备注所投项目名称及公司全称，否则不予受理），以邮箱显示收到的时间为准，递交资料后请联系代理机构工作人员经确认后获取采购文件。不办理邮寄。</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售价：0(元)；</w:t>
      </w:r>
    </w:p>
    <w:p>
      <w:pPr>
        <w:pStyle w:val="4"/>
        <w:numPr>
          <w:ilvl w:val="0"/>
          <w:numId w:val="6"/>
        </w:numPr>
        <w:spacing w:line="360" w:lineRule="auto"/>
        <w:jc w:val="left"/>
        <w:rPr>
          <w:rFonts w:ascii="宋体" w:hAnsi="宋体" w:eastAsia="宋体" w:cs="宋体"/>
          <w:color w:val="auto"/>
          <w:sz w:val="21"/>
          <w:szCs w:val="21"/>
        </w:rPr>
      </w:pPr>
      <w:bookmarkStart w:id="12" w:name="_Toc12091"/>
      <w:r>
        <w:rPr>
          <w:rFonts w:hint="eastAsia" w:ascii="宋体" w:hAnsi="宋体" w:eastAsia="宋体" w:cs="宋体"/>
          <w:color w:val="auto"/>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开始时间：</w:t>
      </w:r>
      <w:r>
        <w:rPr>
          <w:rFonts w:hint="eastAsia" w:ascii="宋体" w:hAnsi="宋体" w:cs="宋体"/>
          <w:color w:val="auto"/>
          <w:szCs w:val="21"/>
          <w:u w:val="none"/>
        </w:rPr>
        <w:t>202</w:t>
      </w:r>
      <w:r>
        <w:rPr>
          <w:rFonts w:hint="eastAsia" w:ascii="宋体" w:hAnsi="宋体" w:cs="宋体"/>
          <w:color w:val="auto"/>
          <w:szCs w:val="21"/>
          <w:u w:val="none"/>
          <w:lang w:val="en-US" w:eastAsia="zh-CN"/>
        </w:rPr>
        <w:t>3</w:t>
      </w:r>
      <w:r>
        <w:rPr>
          <w:rFonts w:hint="eastAsia" w:ascii="宋体" w:hAnsi="宋体" w:cs="宋体"/>
          <w:color w:val="auto"/>
          <w:szCs w:val="21"/>
          <w:u w:val="none"/>
        </w:rPr>
        <w:t>年</w:t>
      </w:r>
      <w:r>
        <w:rPr>
          <w:rFonts w:hint="eastAsia" w:ascii="宋体" w:hAnsi="宋体" w:cs="宋体"/>
          <w:color w:val="auto"/>
          <w:szCs w:val="21"/>
          <w:u w:val="none"/>
          <w:lang w:val="en-US" w:eastAsia="zh-CN"/>
        </w:rPr>
        <w:t>7</w:t>
      </w:r>
      <w:r>
        <w:rPr>
          <w:rFonts w:hint="eastAsia" w:ascii="宋体" w:hAnsi="宋体" w:cs="宋体"/>
          <w:color w:val="auto"/>
          <w:szCs w:val="21"/>
          <w:u w:val="none"/>
        </w:rPr>
        <w:t>月</w:t>
      </w:r>
      <w:r>
        <w:rPr>
          <w:rFonts w:hint="eastAsia" w:ascii="宋体" w:hAnsi="宋体" w:cs="宋体"/>
          <w:color w:val="auto"/>
          <w:szCs w:val="21"/>
          <w:u w:val="none"/>
          <w:lang w:val="en-US" w:eastAsia="zh-CN"/>
        </w:rPr>
        <w:t>24</w:t>
      </w:r>
      <w:r>
        <w:rPr>
          <w:rFonts w:hint="eastAsia" w:ascii="宋体" w:hAnsi="宋体" w:cs="宋体"/>
          <w:color w:val="auto"/>
          <w:szCs w:val="21"/>
          <w:u w:val="none"/>
        </w:rPr>
        <w:t>日</w:t>
      </w:r>
      <w:r>
        <w:rPr>
          <w:rFonts w:hint="eastAsia" w:ascii="宋体" w:hAnsi="宋体" w:cs="宋体"/>
          <w:color w:val="auto"/>
          <w:szCs w:val="21"/>
          <w:u w:val="none"/>
          <w:lang w:val="en-US" w:eastAsia="zh-CN"/>
        </w:rPr>
        <w:t>08</w:t>
      </w:r>
      <w:r>
        <w:rPr>
          <w:rFonts w:hint="eastAsia" w:ascii="宋体" w:hAnsi="宋体" w:cs="宋体"/>
          <w:color w:val="auto"/>
          <w:szCs w:val="21"/>
          <w:u w:val="none"/>
        </w:rPr>
        <w:t>点</w:t>
      </w:r>
      <w:r>
        <w:rPr>
          <w:rFonts w:hint="eastAsia" w:ascii="宋体" w:hAnsi="宋体" w:cs="宋体"/>
          <w:color w:val="auto"/>
          <w:szCs w:val="21"/>
          <w:u w:val="none"/>
          <w:lang w:val="en-US" w:eastAsia="zh-CN"/>
        </w:rPr>
        <w:t>30</w:t>
      </w:r>
      <w:r>
        <w:rPr>
          <w:rFonts w:hint="eastAsia" w:ascii="宋体" w:hAnsi="宋体" w:cs="宋体"/>
          <w:color w:val="auto"/>
          <w:szCs w:val="21"/>
          <w:u w:val="none"/>
        </w:rPr>
        <w:t>分</w:t>
      </w:r>
      <w:r>
        <w:rPr>
          <w:rFonts w:hint="eastAsia" w:asciiTheme="minorEastAsia" w:hAnsiTheme="minorEastAsia" w:eastAsiaTheme="minorEastAsia" w:cstheme="minorEastAsia"/>
          <w:color w:val="auto"/>
          <w:szCs w:val="21"/>
        </w:rPr>
        <w:t>（北京时间）</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截止时间：</w:t>
      </w:r>
      <w:r>
        <w:rPr>
          <w:rFonts w:hint="eastAsia" w:ascii="宋体" w:hAnsi="宋体" w:cs="宋体"/>
          <w:color w:val="auto"/>
          <w:szCs w:val="21"/>
          <w:u w:val="none"/>
        </w:rPr>
        <w:t>202</w:t>
      </w:r>
      <w:r>
        <w:rPr>
          <w:rFonts w:hint="eastAsia" w:ascii="宋体" w:hAnsi="宋体" w:cs="宋体"/>
          <w:color w:val="auto"/>
          <w:szCs w:val="21"/>
          <w:u w:val="none"/>
          <w:lang w:val="en-US" w:eastAsia="zh-CN"/>
        </w:rPr>
        <w:t>3</w:t>
      </w:r>
      <w:r>
        <w:rPr>
          <w:rFonts w:hint="eastAsia" w:ascii="宋体" w:hAnsi="宋体" w:cs="宋体"/>
          <w:color w:val="auto"/>
          <w:szCs w:val="21"/>
          <w:u w:val="none"/>
        </w:rPr>
        <w:t>年</w:t>
      </w:r>
      <w:r>
        <w:rPr>
          <w:rFonts w:hint="eastAsia" w:ascii="宋体" w:hAnsi="宋体" w:cs="宋体"/>
          <w:color w:val="auto"/>
          <w:szCs w:val="21"/>
          <w:u w:val="none"/>
          <w:lang w:val="en-US" w:eastAsia="zh-CN"/>
        </w:rPr>
        <w:t>7</w:t>
      </w:r>
      <w:r>
        <w:rPr>
          <w:rFonts w:hint="eastAsia" w:ascii="宋体" w:hAnsi="宋体" w:cs="宋体"/>
          <w:color w:val="auto"/>
          <w:szCs w:val="21"/>
          <w:u w:val="none"/>
        </w:rPr>
        <w:t>月</w:t>
      </w:r>
      <w:r>
        <w:rPr>
          <w:rFonts w:hint="eastAsia" w:ascii="宋体" w:hAnsi="宋体" w:cs="宋体"/>
          <w:color w:val="auto"/>
          <w:szCs w:val="21"/>
          <w:u w:val="none"/>
          <w:lang w:val="en-US" w:eastAsia="zh-CN"/>
        </w:rPr>
        <w:t>24</w:t>
      </w:r>
      <w:r>
        <w:rPr>
          <w:rFonts w:hint="eastAsia" w:ascii="宋体" w:hAnsi="宋体" w:cs="宋体"/>
          <w:color w:val="auto"/>
          <w:szCs w:val="21"/>
          <w:u w:val="none"/>
        </w:rPr>
        <w:t>日</w:t>
      </w:r>
      <w:r>
        <w:rPr>
          <w:rFonts w:hint="eastAsia" w:ascii="宋体" w:hAnsi="宋体" w:cs="宋体"/>
          <w:color w:val="auto"/>
          <w:szCs w:val="21"/>
          <w:u w:val="none"/>
          <w:lang w:val="en-US" w:eastAsia="zh-CN"/>
        </w:rPr>
        <w:t>10</w:t>
      </w:r>
      <w:r>
        <w:rPr>
          <w:rFonts w:hint="eastAsia" w:ascii="宋体" w:hAnsi="宋体" w:cs="宋体"/>
          <w:color w:val="auto"/>
          <w:szCs w:val="21"/>
          <w:u w:val="none"/>
        </w:rPr>
        <w:t>点</w:t>
      </w:r>
      <w:r>
        <w:rPr>
          <w:rFonts w:hint="eastAsia" w:ascii="宋体" w:hAnsi="宋体" w:cs="宋体"/>
          <w:color w:val="auto"/>
          <w:szCs w:val="21"/>
          <w:u w:val="none"/>
          <w:lang w:val="en-US" w:eastAsia="zh-CN"/>
        </w:rPr>
        <w:t>00</w:t>
      </w:r>
      <w:r>
        <w:rPr>
          <w:rFonts w:hint="eastAsia" w:ascii="宋体" w:hAnsi="宋体" w:cs="宋体"/>
          <w:color w:val="auto"/>
          <w:szCs w:val="21"/>
          <w:u w:val="none"/>
        </w:rPr>
        <w:t>分</w:t>
      </w:r>
      <w:r>
        <w:rPr>
          <w:rFonts w:hint="eastAsia" w:asciiTheme="minorEastAsia" w:hAnsiTheme="minorEastAsia" w:eastAsiaTheme="minorEastAsia" w:cstheme="minorEastAsia"/>
          <w:color w:val="auto"/>
          <w:szCs w:val="21"/>
        </w:rPr>
        <w:t>（北京时间）</w:t>
      </w:r>
    </w:p>
    <w:p>
      <w:pPr>
        <w:spacing w:line="360" w:lineRule="auto"/>
        <w:ind w:firstLine="420" w:firstLineChars="200"/>
        <w:jc w:val="left"/>
        <w:rPr>
          <w:rFonts w:ascii="宋体" w:hAnsi="宋体" w:cs="宋体"/>
          <w:color w:val="auto"/>
          <w:szCs w:val="21"/>
        </w:rPr>
      </w:pPr>
      <w:r>
        <w:rPr>
          <w:rFonts w:hint="eastAsia" w:asciiTheme="minorEastAsia" w:hAnsiTheme="minorEastAsia" w:eastAsiaTheme="minorEastAsia" w:cstheme="minorEastAsia"/>
          <w:color w:val="auto"/>
          <w:szCs w:val="21"/>
        </w:rPr>
        <w:t>地点：武昌区中北路岳家嘴立交山河企业大厦4806室，凡是</w:t>
      </w:r>
      <w:r>
        <w:rPr>
          <w:rFonts w:hint="eastAsia" w:ascii="宋体" w:hAnsi="宋体" w:cs="宋体"/>
          <w:color w:val="auto"/>
          <w:szCs w:val="21"/>
        </w:rPr>
        <w:t>获取</w:t>
      </w:r>
      <w:r>
        <w:rPr>
          <w:rFonts w:hint="eastAsia" w:asciiTheme="minorEastAsia" w:hAnsiTheme="minorEastAsia" w:eastAsiaTheme="minorEastAsia" w:cstheme="minorEastAsia"/>
          <w:color w:val="auto"/>
          <w:szCs w:val="21"/>
        </w:rPr>
        <w:t>了磋商文件且已回复确定参加竞标的潜在供应商，于竞标当日临时放弃竞标的，应及时以电话告知形式通知采购代理机构。</w:t>
      </w:r>
    </w:p>
    <w:p>
      <w:pPr>
        <w:pStyle w:val="4"/>
        <w:numPr>
          <w:ilvl w:val="0"/>
          <w:numId w:val="6"/>
        </w:numPr>
        <w:spacing w:line="360" w:lineRule="auto"/>
        <w:jc w:val="left"/>
        <w:rPr>
          <w:rFonts w:eastAsia="宋体"/>
          <w:color w:val="auto"/>
          <w:sz w:val="21"/>
          <w:szCs w:val="21"/>
        </w:rPr>
      </w:pPr>
      <w:bookmarkStart w:id="13" w:name="_Toc24244"/>
      <w:r>
        <w:rPr>
          <w:rFonts w:hint="eastAsia" w:ascii="宋体" w:hAnsi="宋体" w:eastAsia="宋体" w:cs="宋体"/>
          <w:color w:val="auto"/>
          <w:sz w:val="21"/>
          <w:szCs w:val="21"/>
        </w:rPr>
        <w:t>开启</w:t>
      </w:r>
      <w:bookmarkEnd w:id="13"/>
    </w:p>
    <w:p>
      <w:pPr>
        <w:spacing w:line="360" w:lineRule="auto"/>
        <w:ind w:firstLine="420" w:firstLineChars="200"/>
        <w:jc w:val="left"/>
        <w:rPr>
          <w:color w:val="auto"/>
          <w:szCs w:val="21"/>
        </w:rPr>
      </w:pPr>
      <w:r>
        <w:rPr>
          <w:rFonts w:hint="eastAsia" w:ascii="宋体" w:hAnsi="宋体" w:cs="宋体"/>
          <w:color w:val="auto"/>
          <w:szCs w:val="21"/>
        </w:rPr>
        <w:t>时间：</w:t>
      </w:r>
      <w:r>
        <w:rPr>
          <w:rFonts w:hint="eastAsia" w:ascii="宋体" w:hAnsi="宋体" w:cs="宋体"/>
          <w:color w:val="auto"/>
          <w:szCs w:val="21"/>
          <w:u w:val="none"/>
        </w:rPr>
        <w:t>202</w:t>
      </w:r>
      <w:r>
        <w:rPr>
          <w:rFonts w:hint="eastAsia" w:ascii="宋体" w:hAnsi="宋体" w:cs="宋体"/>
          <w:color w:val="auto"/>
          <w:szCs w:val="21"/>
          <w:u w:val="none"/>
          <w:lang w:val="en-US" w:eastAsia="zh-CN"/>
        </w:rPr>
        <w:t>3</w:t>
      </w:r>
      <w:r>
        <w:rPr>
          <w:rFonts w:hint="eastAsia" w:ascii="宋体" w:hAnsi="宋体" w:cs="宋体"/>
          <w:color w:val="auto"/>
          <w:szCs w:val="21"/>
          <w:u w:val="none"/>
        </w:rPr>
        <w:t>年</w:t>
      </w:r>
      <w:r>
        <w:rPr>
          <w:rFonts w:hint="eastAsia" w:ascii="宋体" w:hAnsi="宋体" w:cs="宋体"/>
          <w:color w:val="auto"/>
          <w:szCs w:val="21"/>
          <w:u w:val="none"/>
          <w:lang w:val="en-US" w:eastAsia="zh-CN"/>
        </w:rPr>
        <w:t>7</w:t>
      </w:r>
      <w:r>
        <w:rPr>
          <w:rFonts w:hint="eastAsia" w:ascii="宋体" w:hAnsi="宋体" w:cs="宋体"/>
          <w:color w:val="auto"/>
          <w:szCs w:val="21"/>
          <w:u w:val="none"/>
        </w:rPr>
        <w:t>月</w:t>
      </w:r>
      <w:r>
        <w:rPr>
          <w:rFonts w:hint="eastAsia" w:ascii="宋体" w:hAnsi="宋体" w:cs="宋体"/>
          <w:color w:val="auto"/>
          <w:szCs w:val="21"/>
          <w:u w:val="none"/>
          <w:lang w:val="en-US" w:eastAsia="zh-CN"/>
        </w:rPr>
        <w:t>24</w:t>
      </w:r>
      <w:r>
        <w:rPr>
          <w:rFonts w:hint="eastAsia" w:ascii="宋体" w:hAnsi="宋体" w:cs="宋体"/>
          <w:color w:val="auto"/>
          <w:szCs w:val="21"/>
          <w:u w:val="none"/>
        </w:rPr>
        <w:t>日</w:t>
      </w:r>
      <w:r>
        <w:rPr>
          <w:rFonts w:hint="eastAsia" w:ascii="宋体" w:hAnsi="宋体" w:cs="宋体"/>
          <w:color w:val="auto"/>
          <w:szCs w:val="21"/>
          <w:u w:val="none"/>
          <w:lang w:val="en-US" w:eastAsia="zh-CN"/>
        </w:rPr>
        <w:t>10</w:t>
      </w:r>
      <w:r>
        <w:rPr>
          <w:rFonts w:hint="eastAsia" w:ascii="宋体" w:hAnsi="宋体" w:cs="宋体"/>
          <w:color w:val="auto"/>
          <w:szCs w:val="21"/>
          <w:u w:val="none"/>
        </w:rPr>
        <w:t>点</w:t>
      </w:r>
      <w:r>
        <w:rPr>
          <w:rFonts w:hint="eastAsia" w:ascii="宋体" w:hAnsi="宋体" w:cs="宋体"/>
          <w:color w:val="auto"/>
          <w:szCs w:val="21"/>
          <w:u w:val="none"/>
          <w:lang w:val="en-US" w:eastAsia="zh-CN"/>
        </w:rPr>
        <w:t>00</w:t>
      </w:r>
      <w:r>
        <w:rPr>
          <w:rFonts w:hint="eastAsia" w:ascii="宋体" w:hAnsi="宋体" w:cs="宋体"/>
          <w:color w:val="auto"/>
          <w:szCs w:val="21"/>
          <w:u w:val="none"/>
        </w:rPr>
        <w:t>分</w:t>
      </w:r>
      <w:r>
        <w:rPr>
          <w:rFonts w:hint="eastAsia" w:ascii="宋体" w:hAnsi="宋体" w:cs="宋体"/>
          <w:color w:val="auto"/>
          <w:szCs w:val="21"/>
        </w:rPr>
        <w:t>（北京时间）</w:t>
      </w:r>
    </w:p>
    <w:p>
      <w:pPr>
        <w:pStyle w:val="4"/>
        <w:numPr>
          <w:ilvl w:val="0"/>
          <w:numId w:val="6"/>
        </w:numPr>
        <w:spacing w:line="360" w:lineRule="auto"/>
        <w:jc w:val="left"/>
        <w:rPr>
          <w:rFonts w:ascii="宋体" w:hAnsi="宋体" w:eastAsia="宋体" w:cs="宋体"/>
          <w:color w:val="auto"/>
          <w:sz w:val="21"/>
          <w:szCs w:val="21"/>
        </w:rPr>
      </w:pPr>
      <w:bookmarkStart w:id="14" w:name="_Toc8472"/>
      <w:r>
        <w:rPr>
          <w:rFonts w:hint="eastAsia" w:ascii="宋体" w:hAnsi="宋体" w:eastAsia="宋体" w:cs="宋体"/>
          <w:color w:val="auto"/>
          <w:sz w:val="21"/>
          <w:szCs w:val="21"/>
        </w:rPr>
        <w:t>公告期限</w:t>
      </w:r>
      <w:bookmarkEnd w:id="14"/>
    </w:p>
    <w:p>
      <w:pPr>
        <w:spacing w:line="360" w:lineRule="auto"/>
        <w:ind w:firstLine="420" w:firstLineChars="200"/>
        <w:jc w:val="left"/>
        <w:rPr>
          <w:rFonts w:ascii="宋体" w:hAnsi="宋体" w:cs="宋体"/>
          <w:color w:val="auto"/>
          <w:szCs w:val="21"/>
        </w:rPr>
      </w:pPr>
      <w:bookmarkStart w:id="15" w:name="_Toc6021"/>
      <w:bookmarkStart w:id="16" w:name="_Toc259607751"/>
      <w:bookmarkStart w:id="17" w:name="_Toc320898024"/>
      <w:bookmarkStart w:id="18" w:name="_Toc334539188"/>
      <w:bookmarkStart w:id="19" w:name="_Toc317262251"/>
      <w:bookmarkStart w:id="20" w:name="_Toc276368888"/>
      <w:r>
        <w:rPr>
          <w:rFonts w:hint="eastAsia" w:ascii="宋体" w:hAnsi="宋体" w:cs="宋体"/>
          <w:color w:val="auto"/>
          <w:szCs w:val="21"/>
        </w:rPr>
        <w:t>自本公告发布之日起3个工作日</w:t>
      </w:r>
    </w:p>
    <w:bookmarkEnd w:id="15"/>
    <w:bookmarkEnd w:id="16"/>
    <w:bookmarkEnd w:id="17"/>
    <w:bookmarkEnd w:id="18"/>
    <w:bookmarkEnd w:id="19"/>
    <w:bookmarkEnd w:id="20"/>
    <w:p>
      <w:pPr>
        <w:pStyle w:val="4"/>
        <w:numPr>
          <w:ilvl w:val="0"/>
          <w:numId w:val="6"/>
        </w:numPr>
        <w:spacing w:line="360" w:lineRule="auto"/>
        <w:jc w:val="left"/>
        <w:rPr>
          <w:rFonts w:ascii="宋体" w:hAnsi="宋体" w:eastAsia="宋体" w:cs="宋体"/>
          <w:color w:val="auto"/>
          <w:sz w:val="21"/>
          <w:szCs w:val="21"/>
        </w:rPr>
      </w:pPr>
      <w:bookmarkStart w:id="21" w:name="_Toc17455"/>
      <w:r>
        <w:rPr>
          <w:rFonts w:hint="eastAsia" w:ascii="宋体" w:hAnsi="宋体" w:eastAsia="宋体" w:cs="宋体"/>
          <w:color w:val="auto"/>
          <w:sz w:val="21"/>
          <w:szCs w:val="21"/>
        </w:rPr>
        <w:t>其他补充事宜</w:t>
      </w:r>
      <w:bookmarkEnd w:id="21"/>
    </w:p>
    <w:p>
      <w:pPr>
        <w:spacing w:line="360" w:lineRule="auto"/>
        <w:ind w:firstLine="420" w:firstLineChars="200"/>
        <w:jc w:val="left"/>
        <w:rPr>
          <w:rFonts w:ascii="宋体" w:hAnsi="宋体" w:cs="宋体"/>
          <w:color w:val="auto"/>
          <w:szCs w:val="21"/>
        </w:rPr>
      </w:pPr>
      <w:bookmarkStart w:id="22" w:name="_Toc259028279"/>
      <w:r>
        <w:rPr>
          <w:rFonts w:hint="eastAsia" w:ascii="宋体" w:hAnsi="宋体" w:cs="宋体"/>
          <w:color w:val="auto"/>
          <w:szCs w:val="21"/>
        </w:rPr>
        <w:t>1.本项目资金性质为：财政资金</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2.投标人如需查询技术要求可到我处查阅招标文件第三章相关内容。</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3.本项目将在以下网站发布所有信息，请参加本项目投标的投标人密切关注。</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（1）《湖北省政府采购网》（网址：http://www.ccgp-hubei.gov.cn/）</w:t>
      </w:r>
    </w:p>
    <w:p>
      <w:pPr>
        <w:spacing w:line="360" w:lineRule="auto"/>
        <w:ind w:firstLine="420" w:firstLineChars="200"/>
        <w:jc w:val="left"/>
        <w:rPr>
          <w:rFonts w:ascii="宋体" w:hAnsi="宋体" w:cs="宋体"/>
          <w:b/>
          <w:bCs/>
          <w:color w:val="auto"/>
          <w:szCs w:val="21"/>
        </w:rPr>
      </w:pPr>
      <w:r>
        <w:rPr>
          <w:rFonts w:hint="eastAsia" w:ascii="宋体" w:hAnsi="宋体" w:cs="宋体"/>
          <w:color w:val="auto"/>
          <w:szCs w:val="21"/>
        </w:rPr>
        <w:t>（2）《湖北工业大学》（网址：http://tend.hbut.edu.cn/index.chtml）</w:t>
      </w:r>
    </w:p>
    <w:bookmarkEnd w:id="22"/>
    <w:p>
      <w:pPr>
        <w:pStyle w:val="4"/>
        <w:numPr>
          <w:ilvl w:val="0"/>
          <w:numId w:val="6"/>
        </w:numPr>
        <w:spacing w:line="360" w:lineRule="auto"/>
        <w:jc w:val="left"/>
        <w:rPr>
          <w:rFonts w:ascii="宋体" w:hAnsi="宋体" w:eastAsia="宋体" w:cs="宋体"/>
          <w:color w:val="auto"/>
          <w:sz w:val="21"/>
          <w:szCs w:val="21"/>
        </w:rPr>
      </w:pPr>
      <w:bookmarkStart w:id="23" w:name="_Toc17942"/>
      <w:r>
        <w:rPr>
          <w:rFonts w:hint="eastAsia" w:ascii="宋体" w:hAnsi="宋体" w:eastAsia="宋体" w:cs="宋体"/>
          <w:color w:val="auto"/>
          <w:sz w:val="21"/>
          <w:szCs w:val="21"/>
        </w:rPr>
        <w:t>凡对本次采购提出询问，请按以下方式联系</w:t>
      </w:r>
      <w:bookmarkEnd w:id="23"/>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1.采购人信息</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名 称：湖北工业大学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地 址：湖北省武汉市洪山区南李路28号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 xml:space="preserve">联系方式：王老师、027-59750213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2.采购代理机构信息</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名  称：中创恒梦工程咨询有限公司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地　址：武昌区中北路岳家嘴立交山河企业大厦48楼4805、4806室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联系方式：027-87820788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3.项目联系方式</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项目联系人：张梦、应翠翠</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宋体" w:hAnsi="宋体" w:cs="宋体"/>
          <w:color w:val="auto"/>
          <w:szCs w:val="21"/>
        </w:rPr>
        <w:t>电    　话：027-87820788　　</w:t>
      </w:r>
    </w:p>
    <w:p>
      <w:pPr>
        <w:pStyle w:val="4"/>
        <w:numPr>
          <w:ilvl w:val="0"/>
          <w:numId w:val="6"/>
        </w:numPr>
        <w:spacing w:line="440" w:lineRule="exact"/>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w:t>
      </w:r>
      <w:bookmarkStart w:id="24" w:name="_Toc16655"/>
      <w:r>
        <w:rPr>
          <w:rFonts w:hint="eastAsia" w:asciiTheme="minorEastAsia" w:hAnsiTheme="minorEastAsia" w:eastAsiaTheme="minorEastAsia" w:cstheme="minorEastAsia"/>
          <w:color w:val="auto"/>
          <w:sz w:val="21"/>
          <w:szCs w:val="21"/>
        </w:rPr>
        <w:t>注意事项</w:t>
      </w:r>
      <w:bookmarkEnd w:id="24"/>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3.请供应商仔细阅读本磋商文件的全部条文，对于文件中存在的任何含糊、遗漏、相互矛盾之处，或是对于采购范围的界定和采购内容的要求不清楚，认为</w:t>
      </w:r>
      <w:bookmarkStart w:id="243" w:name="_GoBack"/>
      <w:bookmarkEnd w:id="243"/>
      <w:r>
        <w:rPr>
          <w:rFonts w:hint="eastAsia" w:asciiTheme="minorEastAsia" w:hAnsiTheme="minorEastAsia" w:eastAsiaTheme="minorEastAsia" w:cstheme="minorEastAsia"/>
          <w:color w:val="auto"/>
          <w:szCs w:val="21"/>
        </w:rPr>
        <w:t>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中创恒梦工程咨询有限公司</w:t>
      </w:r>
    </w:p>
    <w:p>
      <w:pPr>
        <w:spacing w:line="440" w:lineRule="exact"/>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Cs w:val="21"/>
          <w:lang w:val="en-US" w:eastAsia="zh-CN"/>
        </w:rPr>
        <w:t>2023</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7</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12</w:t>
      </w:r>
      <w:r>
        <w:rPr>
          <w:rFonts w:hint="eastAsia" w:asciiTheme="minorEastAsia" w:hAnsiTheme="minorEastAsia" w:eastAsiaTheme="minorEastAsia" w:cstheme="minorEastAsia"/>
          <w:color w:val="auto"/>
          <w:szCs w:val="21"/>
        </w:rPr>
        <w:t>日</w:t>
      </w:r>
    </w:p>
    <w:p>
      <w:pPr>
        <w:numPr>
          <w:ilvl w:val="0"/>
          <w:numId w:val="4"/>
        </w:numPr>
        <w:jc w:val="center"/>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6"/>
          <w:szCs w:val="36"/>
        </w:rPr>
        <w:br w:type="page"/>
      </w:r>
    </w:p>
    <w:p>
      <w:pPr>
        <w:pStyle w:val="3"/>
        <w:numPr>
          <w:ilvl w:val="0"/>
          <w:numId w:val="4"/>
        </w:numPr>
        <w:jc w:val="center"/>
        <w:rPr>
          <w:rFonts w:asciiTheme="minorEastAsia" w:hAnsiTheme="minorEastAsia" w:eastAsiaTheme="minorEastAsia" w:cstheme="minorEastAsia"/>
          <w:color w:val="auto"/>
          <w:sz w:val="32"/>
          <w:szCs w:val="32"/>
        </w:rPr>
      </w:pPr>
      <w:bookmarkStart w:id="25" w:name="_Toc18311"/>
      <w:r>
        <w:rPr>
          <w:rFonts w:hint="eastAsia" w:asciiTheme="minorEastAsia" w:hAnsiTheme="minorEastAsia" w:eastAsiaTheme="minorEastAsia" w:cstheme="minorEastAsia"/>
          <w:color w:val="auto"/>
          <w:sz w:val="36"/>
          <w:szCs w:val="36"/>
        </w:rPr>
        <w:t>供应商须知</w:t>
      </w:r>
      <w:bookmarkEnd w:id="25"/>
    </w:p>
    <w:p>
      <w:pPr>
        <w:autoSpaceDE w:val="0"/>
        <w:autoSpaceDN w:val="0"/>
        <w:adjustRightInd w:val="0"/>
        <w:spacing w:line="360" w:lineRule="auto"/>
        <w:jc w:val="center"/>
        <w:outlineLvl w:val="1"/>
        <w:rPr>
          <w:rFonts w:asciiTheme="minorEastAsia" w:hAnsiTheme="minorEastAsia" w:eastAsiaTheme="minorEastAsia" w:cstheme="minorEastAsia"/>
          <w:b/>
          <w:color w:val="auto"/>
          <w:szCs w:val="21"/>
          <w:lang w:val="zh-CN"/>
        </w:rPr>
      </w:pPr>
      <w:bookmarkStart w:id="26" w:name="_Toc8618"/>
      <w:r>
        <w:rPr>
          <w:rFonts w:hint="eastAsia" w:asciiTheme="minorEastAsia" w:hAnsiTheme="minorEastAsia" w:eastAsiaTheme="minorEastAsia" w:cstheme="minorEastAsia"/>
          <w:b/>
          <w:color w:val="auto"/>
          <w:szCs w:val="21"/>
        </w:rPr>
        <w:t>《供应商须知前附表》</w:t>
      </w:r>
      <w:bookmarkEnd w:id="26"/>
    </w:p>
    <w:p>
      <w:pPr>
        <w:autoSpaceDE w:val="0"/>
        <w:autoSpaceDN w:val="0"/>
        <w:adjustRightInd w:val="0"/>
        <w:spacing w:line="360" w:lineRule="auto"/>
        <w:ind w:firstLine="420" w:firstLineChars="20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color w:val="auto"/>
          <w:szCs w:val="21"/>
          <w:lang w:val="zh-CN"/>
        </w:rPr>
        <w:t>如有矛盾，应以本表为准。</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color w:val="auto"/>
                <w:szCs w:val="21"/>
                <w:lang w:val="zh-CN"/>
              </w:rPr>
            </w:pPr>
            <w:r>
              <w:rPr>
                <w:rFonts w:hint="eastAsia" w:asciiTheme="minorEastAsia" w:hAnsiTheme="minorEastAsia" w:eastAsiaTheme="minorEastAsia" w:cstheme="minorEastAsia"/>
                <w:b/>
                <w:color w:val="auto"/>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2.1</w:t>
            </w:r>
          </w:p>
        </w:tc>
        <w:tc>
          <w:tcPr>
            <w:tcW w:w="2127"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采购人</w:t>
            </w:r>
          </w:p>
        </w:tc>
        <w:tc>
          <w:tcPr>
            <w:tcW w:w="6130" w:type="dxa"/>
            <w:vAlign w:val="center"/>
          </w:tcPr>
          <w:p>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w:t>
            </w:r>
          </w:p>
        </w:tc>
        <w:tc>
          <w:tcPr>
            <w:tcW w:w="2127" w:type="dxa"/>
            <w:vAlign w:val="center"/>
          </w:tcPr>
          <w:p>
            <w:pPr>
              <w:pStyle w:val="26"/>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湖北省财政厅政府采购管理处</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地  址：武汉市武昌区中北路8号</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电</w:t>
            </w: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Cs w:val="21"/>
                <w:lang w:val="zh-CN"/>
              </w:rPr>
              <w:t>话：</w:t>
            </w:r>
            <w:r>
              <w:rPr>
                <w:rFonts w:hint="eastAsia" w:asciiTheme="minorEastAsia" w:hAnsiTheme="minorEastAsia" w:eastAsiaTheme="minorEastAsia" w:cstheme="minorEastAsia"/>
                <w:color w:val="auto"/>
                <w:szCs w:val="21"/>
              </w:rPr>
              <w:t>027-</w:t>
            </w:r>
            <w:r>
              <w:rPr>
                <w:rFonts w:hint="eastAsia" w:asciiTheme="minorEastAsia" w:hAnsiTheme="minorEastAsia" w:eastAsiaTheme="minorEastAsia" w:cstheme="minorEastAsia"/>
                <w:color w:val="auto"/>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w:t>
            </w:r>
          </w:p>
        </w:tc>
        <w:tc>
          <w:tcPr>
            <w:tcW w:w="2127"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采购代理机构</w:t>
            </w:r>
          </w:p>
        </w:tc>
        <w:tc>
          <w:tcPr>
            <w:tcW w:w="6130"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2.5</w:t>
            </w:r>
          </w:p>
        </w:tc>
        <w:tc>
          <w:tcPr>
            <w:tcW w:w="2127"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磋商供应商</w:t>
            </w:r>
          </w:p>
        </w:tc>
        <w:tc>
          <w:tcPr>
            <w:tcW w:w="6130" w:type="dxa"/>
            <w:vAlign w:val="center"/>
          </w:tcPr>
          <w:p>
            <w:pPr>
              <w:pStyle w:val="26"/>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sz w:val="21"/>
                <w:szCs w:val="21"/>
                <w:lang w:val="zh-CN"/>
              </w:rPr>
              <w:t>详见</w:t>
            </w:r>
            <w:r>
              <w:rPr>
                <w:rFonts w:asciiTheme="minorEastAsia" w:hAnsiTheme="minorEastAsia" w:eastAsiaTheme="minorEastAsia" w:cstheme="minorEastAsia"/>
                <w:color w:val="auto"/>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根据国家发展与改革委员会办公厅发改办价格【2003】857号文的规定，经与采购人协商，由成交供应商按国家发展计划委员会计价格【2002】1980号文规定的取费标准</w:t>
            </w:r>
            <w:r>
              <w:rPr>
                <w:rFonts w:hint="eastAsia" w:ascii="宋体" w:hAnsi="宋体" w:cs="宋体"/>
                <w:color w:val="auto"/>
                <w:szCs w:val="21"/>
              </w:rPr>
              <w:t>80%</w:t>
            </w:r>
            <w:r>
              <w:rPr>
                <w:rFonts w:hint="eastAsia" w:asciiTheme="minorEastAsia" w:hAnsiTheme="minorEastAsia" w:eastAsiaTheme="minorEastAsia" w:cstheme="minorEastAsia"/>
                <w:color w:val="auto"/>
                <w:szCs w:val="21"/>
              </w:rPr>
              <w:t>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提疑、</w:t>
            </w:r>
            <w:r>
              <w:rPr>
                <w:rFonts w:hint="eastAsia" w:asciiTheme="minorEastAsia" w:hAnsiTheme="minorEastAsia" w:eastAsiaTheme="minorEastAsia" w:cstheme="minorEastAsia"/>
                <w:snapToGrid w:val="0"/>
                <w:color w:val="auto"/>
                <w:kern w:val="0"/>
                <w:szCs w:val="21"/>
              </w:rPr>
              <w:t>质疑</w:t>
            </w:r>
            <w:r>
              <w:rPr>
                <w:rFonts w:hint="eastAsia" w:asciiTheme="minorEastAsia" w:hAnsiTheme="minorEastAsia" w:eastAsiaTheme="minorEastAsia" w:cstheme="minorEastAsia"/>
                <w:snapToGrid w:val="0"/>
                <w:color w:val="auto"/>
                <w:kern w:val="0"/>
                <w:szCs w:val="21"/>
                <w:lang w:val="zh-CN"/>
              </w:rPr>
              <w:t>截止时间</w:t>
            </w:r>
          </w:p>
        </w:tc>
        <w:tc>
          <w:tcPr>
            <w:tcW w:w="6130" w:type="dxa"/>
            <w:vAlign w:val="center"/>
          </w:tcPr>
          <w:p>
            <w:pPr>
              <w:pStyle w:val="26"/>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sz w:val="21"/>
                <w:szCs w:val="21"/>
                <w:lang w:val="zh-CN"/>
              </w:rPr>
            </w:pPr>
            <w:r>
              <w:rPr>
                <w:rFonts w:asciiTheme="minorEastAsia" w:hAnsiTheme="minorEastAsia" w:eastAsiaTheme="minorEastAsia" w:cstheme="minorEastAsia"/>
                <w:color w:val="auto"/>
                <w:sz w:val="21"/>
                <w:szCs w:val="21"/>
                <w:lang w:val="zh-CN"/>
              </w:rPr>
              <w:t>供应商认为磋商文件、磋商过程和成交结果使自己的权益受到损害</w:t>
            </w:r>
          </w:p>
          <w:p>
            <w:pPr>
              <w:pStyle w:val="26"/>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sz w:val="21"/>
                <w:szCs w:val="21"/>
                <w:lang w:val="zh-CN"/>
              </w:rPr>
            </w:pPr>
            <w:r>
              <w:rPr>
                <w:rFonts w:asciiTheme="minorEastAsia" w:hAnsiTheme="minorEastAsia" w:eastAsiaTheme="minorEastAsia" w:cstheme="minorEastAsia"/>
                <w:color w:val="auto"/>
                <w:sz w:val="21"/>
                <w:szCs w:val="21"/>
                <w:lang w:val="zh-CN"/>
              </w:rPr>
              <w:t>的，可以在知道或者应知其权益受到损害之日起7个工作日内，以</w:t>
            </w:r>
          </w:p>
          <w:p>
            <w:pPr>
              <w:pStyle w:val="26"/>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sz w:val="21"/>
                <w:szCs w:val="21"/>
                <w:lang w:val="zh-CN"/>
              </w:rPr>
            </w:pPr>
            <w:r>
              <w:rPr>
                <w:rFonts w:asciiTheme="minorEastAsia" w:hAnsiTheme="minorEastAsia" w:eastAsiaTheme="minorEastAsia" w:cstheme="minorEastAsia"/>
                <w:color w:val="auto"/>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rPr>
            </w:pPr>
            <w:r>
              <w:rPr>
                <w:rFonts w:asciiTheme="minorEastAsia" w:hAnsiTheme="minorEastAsia" w:eastAsiaTheme="minorEastAsia" w:cstheme="minorEastAsia"/>
                <w:color w:val="auto"/>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时间</w:t>
            </w:r>
          </w:p>
        </w:tc>
        <w:tc>
          <w:tcPr>
            <w:tcW w:w="6130" w:type="dxa"/>
            <w:vAlign w:val="center"/>
          </w:tcPr>
          <w:p>
            <w:pPr>
              <w:pStyle w:val="26"/>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对多</w:t>
            </w:r>
            <w:r>
              <w:rPr>
                <w:rFonts w:hint="eastAsia" w:asciiTheme="minorEastAsia" w:hAnsiTheme="minorEastAsia" w:eastAsiaTheme="minorEastAsia" w:cstheme="minorEastAsia"/>
                <w:snapToGrid w:val="0"/>
                <w:color w:val="auto"/>
                <w:kern w:val="0"/>
                <w:szCs w:val="21"/>
              </w:rPr>
              <w:t>包</w:t>
            </w:r>
            <w:r>
              <w:rPr>
                <w:rFonts w:hint="eastAsia" w:asciiTheme="minorEastAsia" w:hAnsiTheme="minorEastAsia" w:eastAsiaTheme="minorEastAsia" w:cstheme="minorEastAsia"/>
                <w:snapToGrid w:val="0"/>
                <w:color w:val="auto"/>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w:t>
            </w:r>
            <w:r>
              <w:rPr>
                <w:rFonts w:hint="eastAsia" w:asciiTheme="minorEastAsia" w:hAnsiTheme="minorEastAsia" w:eastAsiaTheme="minorEastAsia" w:cstheme="minorEastAsia"/>
                <w:color w:val="auto"/>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本次采购  </w:t>
            </w:r>
            <w:r>
              <w:rPr>
                <w:rFonts w:hint="eastAsia" w:asciiTheme="minorEastAsia" w:hAnsiTheme="minorEastAsia" w:eastAsiaTheme="minorEastAsia" w:cstheme="minorEastAsia"/>
                <w:color w:val="auto"/>
                <w:szCs w:val="21"/>
                <w:u w:val="single"/>
                <w:lang w:val="zh-CN"/>
              </w:rPr>
              <w:t>不接受</w:t>
            </w:r>
            <w:r>
              <w:rPr>
                <w:rFonts w:hint="eastAsia" w:asciiTheme="minorEastAsia" w:hAnsiTheme="minorEastAsia" w:eastAsiaTheme="minorEastAsia" w:cstheme="minorEastAsia"/>
                <w:color w:val="auto"/>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本次采购  </w:t>
            </w:r>
            <w:r>
              <w:rPr>
                <w:rFonts w:hint="eastAsia" w:asciiTheme="minorEastAsia" w:hAnsiTheme="minorEastAsia" w:eastAsiaTheme="minorEastAsia" w:cstheme="minorEastAsia"/>
                <w:color w:val="auto"/>
                <w:szCs w:val="21"/>
                <w:u w:val="single"/>
                <w:lang w:val="zh-CN"/>
              </w:rPr>
              <w:t>不接受</w:t>
            </w:r>
            <w:r>
              <w:rPr>
                <w:rFonts w:hint="eastAsia" w:asciiTheme="minorEastAsia" w:hAnsiTheme="minorEastAsia" w:eastAsiaTheme="minorEastAsia" w:cstheme="minorEastAsia"/>
                <w:color w:val="auto"/>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FFFFFF" w:fill="D9D9D9"/>
                <w:lang w:val="zh-CN"/>
              </w:rPr>
              <w:t>（实质性</w:t>
            </w:r>
            <w:r>
              <w:rPr>
                <w:rFonts w:hint="eastAsia" w:asciiTheme="minorEastAsia" w:hAnsiTheme="minorEastAsia" w:eastAsiaTheme="minorEastAsia" w:cstheme="minorEastAsia"/>
                <w:b/>
                <w:bCs/>
                <w:color w:val="auto"/>
                <w:szCs w:val="21"/>
                <w:shd w:val="clear" w:color="FFFFFF" w:fill="D9D9D9"/>
              </w:rPr>
              <w:t>内容</w:t>
            </w:r>
            <w:r>
              <w:rPr>
                <w:rFonts w:hint="eastAsia" w:asciiTheme="minorEastAsia" w:hAnsiTheme="minorEastAsia" w:eastAsiaTheme="minorEastAsia" w:cstheme="minorEastAsia"/>
                <w:b/>
                <w:bCs/>
                <w:color w:val="auto"/>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详见第一章《</w:t>
            </w:r>
            <w:r>
              <w:rPr>
                <w:rFonts w:hint="eastAsia" w:asciiTheme="minorEastAsia" w:hAnsiTheme="minorEastAsia" w:eastAsiaTheme="minorEastAsia" w:cstheme="minorEastAsia"/>
                <w:color w:val="auto"/>
                <w:szCs w:val="21"/>
              </w:rPr>
              <w:t>竞争性磋商</w:t>
            </w:r>
            <w:r>
              <w:rPr>
                <w:rFonts w:hint="eastAsia" w:asciiTheme="minorEastAsia" w:hAnsiTheme="minorEastAsia" w:eastAsiaTheme="minorEastAsia" w:cstheme="minorEastAsia"/>
                <w:color w:val="auto"/>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val="zh-CN"/>
              </w:rPr>
              <w:t>）具有独立承担民事责任的能力；</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color w:val="auto"/>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color w:val="auto"/>
                <w:szCs w:val="21"/>
              </w:rPr>
              <w:t>可以</w:t>
            </w:r>
            <w:r>
              <w:rPr>
                <w:rFonts w:hint="eastAsia" w:asciiTheme="minorEastAsia" w:hAnsiTheme="minorEastAsia" w:eastAsiaTheme="minorEastAsia" w:cstheme="minorEastAsia"/>
                <w:color w:val="auto"/>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color w:val="auto"/>
                <w:szCs w:val="21"/>
              </w:rPr>
              <w:t>财务会计制度对应的相关内容</w:t>
            </w:r>
            <w:r>
              <w:rPr>
                <w:rFonts w:hint="eastAsia" w:asciiTheme="minorEastAsia" w:hAnsiTheme="minorEastAsia" w:eastAsiaTheme="minorEastAsia" w:cstheme="minorEastAsia"/>
                <w:color w:val="auto"/>
                <w:szCs w:val="21"/>
                <w:lang w:val="zh-CN"/>
              </w:rPr>
              <w:t>。</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color w:val="auto"/>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color w:val="auto"/>
                <w:szCs w:val="21"/>
              </w:rPr>
              <w:t>六个月</w:t>
            </w:r>
            <w:r>
              <w:rPr>
                <w:rFonts w:hint="eastAsia" w:asciiTheme="minorEastAsia" w:hAnsiTheme="minorEastAsia" w:eastAsiaTheme="minorEastAsia" w:cstheme="minorEastAsia"/>
                <w:color w:val="auto"/>
                <w:szCs w:val="21"/>
                <w:lang w:val="zh-CN"/>
              </w:rPr>
              <w:t>以来</w:t>
            </w:r>
            <w:r>
              <w:rPr>
                <w:rFonts w:hint="eastAsia" w:asciiTheme="minorEastAsia" w:hAnsiTheme="minorEastAsia" w:eastAsiaTheme="minorEastAsia" w:cstheme="minorEastAsia"/>
                <w:color w:val="auto"/>
                <w:szCs w:val="21"/>
              </w:rPr>
              <w:t>任意一个月</w:t>
            </w:r>
            <w:r>
              <w:rPr>
                <w:rFonts w:hint="eastAsia" w:asciiTheme="minorEastAsia" w:hAnsiTheme="minorEastAsia" w:eastAsiaTheme="minorEastAsia" w:cstheme="minorEastAsia"/>
                <w:color w:val="auto"/>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color w:val="auto"/>
                <w:szCs w:val="21"/>
              </w:rPr>
              <w:t>六个月</w:t>
            </w:r>
            <w:r>
              <w:rPr>
                <w:rFonts w:hint="eastAsia" w:asciiTheme="minorEastAsia" w:hAnsiTheme="minorEastAsia" w:eastAsiaTheme="minorEastAsia" w:cstheme="minorEastAsia"/>
                <w:color w:val="auto"/>
                <w:szCs w:val="21"/>
                <w:lang w:val="zh-CN"/>
              </w:rPr>
              <w:t>以来</w:t>
            </w:r>
            <w:r>
              <w:rPr>
                <w:rFonts w:hint="eastAsia" w:asciiTheme="minorEastAsia" w:hAnsiTheme="minorEastAsia" w:eastAsiaTheme="minorEastAsia" w:cstheme="minorEastAsia"/>
                <w:color w:val="auto"/>
                <w:szCs w:val="21"/>
              </w:rPr>
              <w:t>任意一个月</w:t>
            </w:r>
            <w:r>
              <w:rPr>
                <w:rFonts w:hint="eastAsia" w:asciiTheme="minorEastAsia" w:hAnsiTheme="minorEastAsia" w:eastAsiaTheme="minorEastAsia" w:cstheme="minorEastAsia"/>
                <w:color w:val="auto"/>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5</w:t>
            </w:r>
            <w:r>
              <w:rPr>
                <w:rFonts w:hint="eastAsia" w:asciiTheme="minorEastAsia" w:hAnsiTheme="minorEastAsia" w:eastAsiaTheme="minorEastAsia" w:cstheme="minorEastAsia"/>
                <w:color w:val="auto"/>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w:t>
            </w:r>
            <w:r>
              <w:rPr>
                <w:rFonts w:hint="eastAsia" w:asciiTheme="minorEastAsia" w:hAnsiTheme="minorEastAsia" w:eastAsiaTheme="minorEastAsia" w:cstheme="minorEastAsia"/>
                <w:b/>
                <w:bCs/>
                <w:color w:val="auto"/>
                <w:szCs w:val="21"/>
              </w:rPr>
              <w:t>6</w:t>
            </w:r>
            <w:r>
              <w:rPr>
                <w:rFonts w:hint="eastAsia" w:asciiTheme="minorEastAsia" w:hAnsiTheme="minorEastAsia" w:eastAsiaTheme="minorEastAsia" w:cstheme="minorEastAsia"/>
                <w:b/>
                <w:bCs/>
                <w:color w:val="auto"/>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b/>
                <w:bCs/>
                <w:color w:val="auto"/>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color w:val="auto"/>
                <w:kern w:val="0"/>
                <w:szCs w:val="21"/>
                <w:lang w:val="zh-CN"/>
              </w:rPr>
              <w:t>（</w:t>
            </w:r>
            <w:r>
              <w:rPr>
                <w:rFonts w:hint="eastAsia" w:asciiTheme="minorEastAsia" w:hAnsiTheme="minorEastAsia" w:eastAsiaTheme="minorEastAsia" w:cstheme="minorEastAsia"/>
                <w:b/>
                <w:bCs/>
                <w:snapToGrid w:val="0"/>
                <w:color w:val="auto"/>
                <w:kern w:val="0"/>
                <w:szCs w:val="21"/>
              </w:rPr>
              <w:t>本项目不适用</w:t>
            </w:r>
            <w:r>
              <w:rPr>
                <w:rFonts w:hint="eastAsia" w:asciiTheme="minorEastAsia" w:hAnsiTheme="minorEastAsia" w:eastAsiaTheme="minorEastAsia" w:cstheme="minorEastAsia"/>
                <w:b/>
                <w:bCs/>
                <w:snapToGrid w:val="0"/>
                <w:color w:val="auto"/>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kern w:val="0"/>
                <w:szCs w:val="21"/>
              </w:rPr>
              <w:t>自磋商截止时间起共</w:t>
            </w:r>
            <w:r>
              <w:rPr>
                <w:rFonts w:hint="eastAsia" w:asciiTheme="minorEastAsia" w:hAnsiTheme="minorEastAsia" w:eastAsiaTheme="minorEastAsia" w:cstheme="minorEastAsia"/>
                <w:color w:val="auto"/>
                <w:kern w:val="0"/>
                <w:szCs w:val="21"/>
                <w:u w:val="single"/>
              </w:rPr>
              <w:t xml:space="preserve"> 90 </w:t>
            </w:r>
            <w:r>
              <w:rPr>
                <w:rFonts w:hint="eastAsia" w:asciiTheme="minorEastAsia" w:hAnsiTheme="minorEastAsia" w:eastAsiaTheme="minorEastAsia" w:cstheme="minorEastAsia"/>
                <w:color w:val="auto"/>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（1）响应文件纸质版：正本</w:t>
            </w:r>
            <w:r>
              <w:rPr>
                <w:rFonts w:hint="eastAsia" w:asciiTheme="minorEastAsia" w:hAnsiTheme="minorEastAsia" w:eastAsiaTheme="minorEastAsia" w:cstheme="minorEastAsia"/>
                <w:color w:val="auto"/>
                <w:szCs w:val="21"/>
                <w:u w:val="single"/>
              </w:rPr>
              <w:t xml:space="preserve"> 壹 </w:t>
            </w:r>
            <w:r>
              <w:rPr>
                <w:rFonts w:hint="eastAsia" w:asciiTheme="minorEastAsia" w:hAnsiTheme="minorEastAsia" w:eastAsiaTheme="minorEastAsia" w:cstheme="minorEastAsia"/>
                <w:color w:val="auto"/>
                <w:szCs w:val="21"/>
              </w:rPr>
              <w:t>份（需为彩色打印件），副本</w:t>
            </w:r>
            <w:r>
              <w:rPr>
                <w:rFonts w:hint="eastAsia" w:asciiTheme="minorEastAsia" w:hAnsiTheme="minorEastAsia" w:eastAsiaTheme="minorEastAsia" w:cstheme="minorEastAsia"/>
                <w:color w:val="auto"/>
                <w:szCs w:val="21"/>
                <w:u w:val="single"/>
              </w:rPr>
              <w:t xml:space="preserve"> 贰 </w:t>
            </w:r>
            <w:r>
              <w:rPr>
                <w:rFonts w:hint="eastAsia" w:asciiTheme="minorEastAsia" w:hAnsiTheme="minorEastAsia" w:eastAsiaTheme="minorEastAsia" w:cstheme="minorEastAsia"/>
                <w:color w:val="auto"/>
                <w:szCs w:val="21"/>
              </w:rPr>
              <w:t>份；</w:t>
            </w:r>
          </w:p>
          <w:p>
            <w:pPr>
              <w:autoSpaceDE w:val="0"/>
              <w:autoSpaceDN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（2）响应文件电子版：</w:t>
            </w:r>
          </w:p>
          <w:p>
            <w:pPr>
              <w:autoSpaceDE w:val="0"/>
              <w:autoSpaceDN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□不要求</w:t>
            </w:r>
          </w:p>
          <w:p>
            <w:pPr>
              <w:autoSpaceDE w:val="0"/>
              <w:autoSpaceDN w:val="0"/>
              <w:snapToGrid w:val="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☑要求，响应文件电子版内容：</w:t>
            </w:r>
            <w:r>
              <w:rPr>
                <w:rFonts w:hint="eastAsia" w:asciiTheme="minorEastAsia" w:hAnsiTheme="minorEastAsia" w:eastAsiaTheme="minorEastAsia" w:cstheme="minorEastAsia"/>
                <w:color w:val="auto"/>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shd w:val="clear" w:color="auto" w:fill="FFFFFF"/>
              </w:rPr>
              <w:t>响应文件电子版格式：</w:t>
            </w:r>
            <w:r>
              <w:rPr>
                <w:rFonts w:hint="eastAsia" w:asciiTheme="minorEastAsia" w:hAnsiTheme="minorEastAsia" w:eastAsiaTheme="minorEastAsia" w:cstheme="minorEastAsia"/>
                <w:b/>
                <w:bCs/>
                <w:color w:val="auto"/>
                <w:szCs w:val="21"/>
              </w:rPr>
              <w:t>WORD格式和加</w:t>
            </w:r>
            <w:r>
              <w:rPr>
                <w:rFonts w:hint="eastAsia" w:asciiTheme="minorEastAsia" w:hAnsiTheme="minorEastAsia" w:eastAsiaTheme="minorEastAsia" w:cstheme="minorEastAsia"/>
                <w:b/>
                <w:bCs/>
                <w:color w:val="auto"/>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响应文件电子版形式：</w:t>
            </w:r>
            <w:r>
              <w:rPr>
                <w:rFonts w:hint="eastAsia" w:asciiTheme="minorEastAsia" w:hAnsiTheme="minorEastAsia" w:eastAsiaTheme="minorEastAsia" w:cstheme="minorEastAsia"/>
                <w:color w:val="auto"/>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纸质响应文件应采用胶粘方</w:t>
            </w:r>
            <w:r>
              <w:rPr>
                <w:rFonts w:hint="eastAsia" w:asciiTheme="minorEastAsia" w:hAnsiTheme="minorEastAsia" w:eastAsiaTheme="minorEastAsia" w:cstheme="minorEastAsia"/>
                <w:color w:val="auto"/>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6"/>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样品</w:t>
            </w:r>
          </w:p>
          <w:p>
            <w:pPr>
              <w:autoSpaceDE w:val="0"/>
              <w:autoSpaceDN w:val="0"/>
              <w:adjustRightInd w:val="0"/>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
                <w:bCs/>
                <w:snapToGrid w:val="0"/>
                <w:color w:val="auto"/>
                <w:kern w:val="0"/>
                <w:szCs w:val="21"/>
                <w:lang w:val="zh-CN"/>
              </w:rPr>
              <w:t>（</w:t>
            </w:r>
            <w:r>
              <w:rPr>
                <w:rFonts w:hint="eastAsia" w:asciiTheme="minorEastAsia" w:hAnsiTheme="minorEastAsia" w:eastAsiaTheme="minorEastAsia" w:cstheme="minorEastAsia"/>
                <w:b/>
                <w:bCs/>
                <w:snapToGrid w:val="0"/>
                <w:color w:val="auto"/>
                <w:kern w:val="0"/>
                <w:szCs w:val="21"/>
              </w:rPr>
              <w:t>本项目不适用</w:t>
            </w:r>
            <w:r>
              <w:rPr>
                <w:rFonts w:hint="eastAsia" w:asciiTheme="minorEastAsia" w:hAnsiTheme="minorEastAsia" w:eastAsiaTheme="minorEastAsia" w:cstheme="minorEastAsia"/>
                <w:b/>
                <w:bCs/>
                <w:snapToGrid w:val="0"/>
                <w:color w:val="auto"/>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color w:val="auto"/>
                <w:kern w:val="0"/>
                <w:szCs w:val="21"/>
                <w:lang w:val="zh-CN"/>
              </w:rPr>
              <w:br w:type="textWrapping"/>
            </w:r>
            <w:r>
              <w:rPr>
                <w:rFonts w:hint="eastAsia" w:asciiTheme="minorEastAsia" w:hAnsiTheme="minorEastAsia" w:eastAsiaTheme="minorEastAsia" w:cstheme="minorEastAsia"/>
                <w:color w:val="auto"/>
                <w:kern w:val="0"/>
                <w:szCs w:val="21"/>
                <w:lang w:val="zh-CN"/>
              </w:rPr>
              <w:t>退还样品的相关规定：</w:t>
            </w:r>
            <w:r>
              <w:rPr>
                <w:rFonts w:hint="eastAsia" w:asciiTheme="minorEastAsia" w:hAnsiTheme="minorEastAsia" w:eastAsiaTheme="minorEastAsia" w:cstheme="minorEastAsia"/>
                <w:color w:val="auto"/>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color w:val="auto"/>
                <w:kern w:val="0"/>
                <w:szCs w:val="21"/>
              </w:rPr>
            </w:pPr>
            <w:r>
              <w:rPr>
                <w:rFonts w:hint="eastAsia" w:asciiTheme="minorEastAsia" w:hAnsiTheme="minorEastAsia" w:eastAsiaTheme="minorEastAsia" w:cstheme="minorEastAsia"/>
                <w:b/>
                <w:bCs/>
                <w:snapToGrid w:val="0"/>
                <w:color w:val="auto"/>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color w:val="auto"/>
                <w:szCs w:val="21"/>
              </w:rPr>
              <w:t>为磋商小组详细介绍供应商公司情况及项目了解情况的人员，</w:t>
            </w:r>
            <w:r>
              <w:rPr>
                <w:rFonts w:hint="eastAsia" w:asciiTheme="minorEastAsia" w:hAnsiTheme="minorEastAsia" w:eastAsiaTheme="minorEastAsia" w:cstheme="minorEastAsia"/>
                <w:b/>
                <w:bCs/>
                <w:color w:val="auto"/>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color w:val="auto"/>
                <w:kern w:val="0"/>
                <w:szCs w:val="21"/>
              </w:rPr>
              <w:t>在指定地点以</w:t>
            </w:r>
            <w:r>
              <w:rPr>
                <w:rFonts w:hint="eastAsia" w:asciiTheme="minorEastAsia" w:hAnsiTheme="minorEastAsia" w:eastAsiaTheme="minorEastAsia" w:cstheme="minorEastAsia"/>
                <w:snapToGrid w:val="0"/>
                <w:color w:val="auto"/>
                <w:kern w:val="0"/>
                <w:szCs w:val="21"/>
                <w:lang w:val="zh-CN"/>
              </w:rPr>
              <w:t>密封</w:t>
            </w:r>
            <w:r>
              <w:rPr>
                <w:rFonts w:hint="eastAsia" w:asciiTheme="minorEastAsia" w:hAnsiTheme="minorEastAsia" w:eastAsiaTheme="minorEastAsia" w:cstheme="minorEastAsia"/>
                <w:snapToGrid w:val="0"/>
                <w:color w:val="auto"/>
                <w:kern w:val="0"/>
                <w:szCs w:val="21"/>
              </w:rPr>
              <w:t>等形式</w:t>
            </w:r>
            <w:r>
              <w:rPr>
                <w:rFonts w:hint="eastAsia" w:asciiTheme="minorEastAsia" w:hAnsiTheme="minorEastAsia" w:eastAsiaTheme="minorEastAsia" w:cstheme="minorEastAsia"/>
                <w:snapToGrid w:val="0"/>
                <w:color w:val="auto"/>
                <w:kern w:val="0"/>
                <w:szCs w:val="21"/>
                <w:lang w:val="zh-CN"/>
              </w:rPr>
              <w:t>递交</w:t>
            </w:r>
            <w:r>
              <w:rPr>
                <w:rFonts w:hint="eastAsia" w:asciiTheme="minorEastAsia" w:hAnsiTheme="minorEastAsia" w:eastAsiaTheme="minorEastAsia" w:cstheme="minorEastAsia"/>
                <w:snapToGrid w:val="0"/>
                <w:color w:val="auto"/>
                <w:kern w:val="0"/>
                <w:szCs w:val="21"/>
              </w:rPr>
              <w:t>给采购代理机构指定现场工作人员或</w:t>
            </w:r>
            <w:r>
              <w:rPr>
                <w:rFonts w:hint="eastAsia" w:asciiTheme="minorEastAsia" w:hAnsiTheme="minorEastAsia" w:eastAsiaTheme="minorEastAsia" w:cstheme="minorEastAsia"/>
                <w:snapToGrid w:val="0"/>
                <w:color w:val="auto"/>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推荐成交候选</w:t>
            </w:r>
            <w:r>
              <w:rPr>
                <w:rFonts w:hint="eastAsia" w:asciiTheme="minorEastAsia" w:hAnsiTheme="minorEastAsia" w:eastAsiaTheme="minorEastAsia" w:cstheme="minorEastAsia"/>
                <w:snapToGrid w:val="0"/>
                <w:color w:val="auto"/>
                <w:kern w:val="0"/>
                <w:szCs w:val="21"/>
              </w:rPr>
              <w:t>供应商</w:t>
            </w:r>
            <w:r>
              <w:rPr>
                <w:rFonts w:hint="eastAsia" w:asciiTheme="minorEastAsia" w:hAnsiTheme="minorEastAsia" w:eastAsiaTheme="minorEastAsia" w:cstheme="minorEastAsia"/>
                <w:snapToGrid w:val="0"/>
                <w:color w:val="auto"/>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本项目推荐</w:t>
            </w:r>
            <w:r>
              <w:rPr>
                <w:rFonts w:hint="eastAsia" w:asciiTheme="minorEastAsia" w:hAnsiTheme="minorEastAsia" w:eastAsiaTheme="minorEastAsia" w:cstheme="minorEastAsia"/>
                <w:bCs/>
                <w:color w:val="auto"/>
                <w:kern w:val="44"/>
                <w:szCs w:val="21"/>
                <w:u w:val="single"/>
              </w:rPr>
              <w:t>3</w:t>
            </w:r>
            <w:r>
              <w:rPr>
                <w:rFonts w:hint="eastAsia" w:asciiTheme="minorEastAsia" w:hAnsiTheme="minorEastAsia" w:eastAsiaTheme="minorEastAsia" w:cstheme="minorEastAsia"/>
                <w:bCs/>
                <w:color w:val="auto"/>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成交通知书的领取</w:t>
            </w:r>
            <w:r>
              <w:rPr>
                <w:rFonts w:hint="eastAsia" w:asciiTheme="minorEastAsia" w:hAnsiTheme="minorEastAsia" w:eastAsiaTheme="minorEastAsia" w:cstheme="minorEastAsia"/>
                <w:snapToGrid w:val="0"/>
                <w:color w:val="auto"/>
                <w:kern w:val="0"/>
                <w:szCs w:val="21"/>
              </w:rPr>
              <w:t>时</w:t>
            </w:r>
            <w:r>
              <w:rPr>
                <w:rFonts w:hint="eastAsia" w:asciiTheme="minorEastAsia" w:hAnsiTheme="minorEastAsia" w:eastAsiaTheme="minorEastAsia" w:cstheme="minorEastAsia"/>
                <w:snapToGrid w:val="0"/>
                <w:color w:val="auto"/>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b/>
                <w:bCs/>
                <w:color w:val="auto"/>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本项目竞标报价为“交钥匙”价。竞标报价应包括完成该项目的货物</w:t>
            </w:r>
            <w:r>
              <w:rPr>
                <w:rFonts w:hint="eastAsia" w:asciiTheme="minorEastAsia" w:hAnsiTheme="minorEastAsia" w:eastAsiaTheme="minorEastAsia" w:cstheme="minorEastAsia"/>
                <w:color w:val="auto"/>
                <w:szCs w:val="21"/>
              </w:rPr>
              <w:t>本身</w:t>
            </w:r>
            <w:r>
              <w:rPr>
                <w:rFonts w:hint="eastAsia" w:asciiTheme="minorEastAsia" w:hAnsiTheme="minorEastAsia" w:eastAsiaTheme="minorEastAsia" w:cstheme="minorEastAsia"/>
                <w:color w:val="auto"/>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各供应商按此要求进行报价，同时在合同实施过程中还将发生的其它费用</w:t>
            </w:r>
            <w:r>
              <w:rPr>
                <w:rFonts w:hint="eastAsia" w:asciiTheme="minorEastAsia" w:hAnsiTheme="minorEastAsia" w:eastAsiaTheme="minorEastAsia" w:cstheme="minorEastAsia"/>
                <w:color w:val="auto"/>
                <w:szCs w:val="21"/>
              </w:rPr>
              <w:t>也</w:t>
            </w:r>
            <w:r>
              <w:rPr>
                <w:rFonts w:hint="eastAsia" w:asciiTheme="minorEastAsia" w:hAnsiTheme="minorEastAsia" w:eastAsiaTheme="minorEastAsia" w:cstheme="minorEastAsia"/>
                <w:color w:val="auto"/>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color w:val="auto"/>
                <w:szCs w:val="21"/>
              </w:rPr>
              <w:t>采购人</w:t>
            </w:r>
            <w:r>
              <w:rPr>
                <w:rFonts w:hint="eastAsia" w:asciiTheme="minorEastAsia" w:hAnsiTheme="minorEastAsia" w:eastAsiaTheme="minorEastAsia" w:cstheme="minorEastAsia"/>
                <w:color w:val="auto"/>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zh-CN"/>
              </w:rPr>
              <w:t>对于</w:t>
            </w: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color w:val="auto"/>
                <w:szCs w:val="21"/>
                <w:lang w:val="zh-CN"/>
              </w:rPr>
              <w:t>文件未列明，而</w:t>
            </w: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color w:val="auto"/>
                <w:szCs w:val="21"/>
                <w:lang w:val="zh-CN"/>
              </w:rPr>
              <w:t>供应商认为</w:t>
            </w:r>
            <w:r>
              <w:rPr>
                <w:rFonts w:hint="eastAsia" w:asciiTheme="minorEastAsia" w:hAnsiTheme="minorEastAsia" w:eastAsiaTheme="minorEastAsia" w:cstheme="minorEastAsia"/>
                <w:color w:val="auto"/>
                <w:szCs w:val="21"/>
              </w:rPr>
              <w:t>必须</w:t>
            </w:r>
            <w:r>
              <w:rPr>
                <w:rFonts w:hint="eastAsia" w:asciiTheme="minorEastAsia" w:hAnsiTheme="minorEastAsia" w:eastAsiaTheme="minorEastAsia" w:cstheme="minorEastAsia"/>
                <w:color w:val="auto"/>
                <w:szCs w:val="21"/>
                <w:lang w:val="zh-CN"/>
              </w:rPr>
              <w:t>的费用也需列入总报价。在合同实施时，采购人将不予支付</w:t>
            </w:r>
            <w:r>
              <w:rPr>
                <w:rFonts w:hint="eastAsia" w:asciiTheme="minorEastAsia" w:hAnsiTheme="minorEastAsia" w:eastAsiaTheme="minorEastAsia" w:cstheme="minorEastAsia"/>
                <w:color w:val="auto"/>
                <w:szCs w:val="21"/>
              </w:rPr>
              <w:t>成交</w:t>
            </w:r>
            <w:r>
              <w:rPr>
                <w:rFonts w:hint="eastAsia" w:asciiTheme="minorEastAsia" w:hAnsiTheme="minorEastAsia" w:eastAsiaTheme="minorEastAsia" w:cstheme="minorEastAsia"/>
                <w:color w:val="auto"/>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color w:val="auto"/>
                <w:u w:val="single"/>
              </w:rPr>
            </w:pPr>
            <w:r>
              <w:rPr>
                <w:rFonts w:hint="eastAsia"/>
                <w:color w:val="auto"/>
              </w:rPr>
              <w:t>☑不接受；    □接  受；</w:t>
            </w:r>
            <w:r>
              <w:rPr>
                <w:rFonts w:hint="eastAsia"/>
                <w:color w:val="auto"/>
              </w:rPr>
              <w:br w:type="textWrapping"/>
            </w:r>
            <w:r>
              <w:rPr>
                <w:rFonts w:hint="eastAsia"/>
                <w:color w:val="auto"/>
              </w:rPr>
              <w:t>经财政部门审核同意购买的进口产品为：</w:t>
            </w:r>
            <w:r>
              <w:rPr>
                <w:rFonts w:hint="eastAsia"/>
                <w:color w:val="auto"/>
                <w:u w:val="single"/>
              </w:rPr>
              <w:t>         </w:t>
            </w:r>
          </w:p>
          <w:p>
            <w:pPr>
              <w:pStyle w:val="12"/>
              <w:rPr>
                <w:color w:val="auto"/>
              </w:rPr>
            </w:pPr>
            <w:r>
              <w:rPr>
                <w:rFonts w:hint="eastAsia"/>
                <w:color w:val="auto"/>
              </w:rPr>
              <w:t>备注：上述列明的货物均已履行相关论证手续，财政部门已审核同意购买进口产品。</w:t>
            </w:r>
          </w:p>
          <w:p>
            <w:pPr>
              <w:pStyle w:val="12"/>
              <w:rPr>
                <w:color w:val="auto"/>
              </w:rPr>
            </w:pPr>
            <w:r>
              <w:rPr>
                <w:rFonts w:hint="eastAsia"/>
                <w:color w:val="auto"/>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相同品牌的要求【本项目不适用】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本项目要求不同品牌的产品：</w:t>
            </w:r>
            <w:r>
              <w:rPr>
                <w:rFonts w:hint="eastAsia" w:asciiTheme="minorEastAsia" w:hAnsiTheme="minorEastAsia" w:eastAsiaTheme="minorEastAsia" w:cstheme="minorEastAsia"/>
                <w:color w:val="auto"/>
                <w:szCs w:val="21"/>
                <w:u w:val="single"/>
              </w:rPr>
              <w:t>/</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spacing w:line="360" w:lineRule="auto"/>
        <w:outlineLvl w:val="1"/>
        <w:rPr>
          <w:rFonts w:asciiTheme="minorEastAsia" w:hAnsiTheme="minorEastAsia" w:eastAsiaTheme="minorEastAsia" w:cstheme="minorEastAsia"/>
          <w:b/>
          <w:color w:val="auto"/>
          <w:szCs w:val="21"/>
        </w:rPr>
      </w:pPr>
      <w:bookmarkStart w:id="27" w:name="_Toc3980"/>
      <w:r>
        <w:rPr>
          <w:rFonts w:hint="eastAsia" w:asciiTheme="minorEastAsia" w:hAnsiTheme="minorEastAsia" w:eastAsiaTheme="minorEastAsia" w:cstheme="minorEastAsia"/>
          <w:b/>
          <w:color w:val="auto"/>
          <w:szCs w:val="21"/>
        </w:rPr>
        <w:t>供应商须知</w:t>
      </w:r>
      <w:bookmarkEnd w:id="27"/>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28" w:name="_Toc16949"/>
      <w:r>
        <w:rPr>
          <w:rFonts w:hint="eastAsia" w:asciiTheme="minorEastAsia" w:hAnsiTheme="minorEastAsia" w:eastAsiaTheme="minorEastAsia" w:cstheme="minorEastAsia"/>
          <w:b/>
          <w:color w:val="auto"/>
          <w:szCs w:val="21"/>
        </w:rPr>
        <w:t>总则</w:t>
      </w:r>
      <w:bookmarkEnd w:id="28"/>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29" w:name="_Toc8635"/>
      <w:bookmarkStart w:id="30" w:name="_Toc27243"/>
      <w:r>
        <w:rPr>
          <w:rFonts w:hint="eastAsia" w:asciiTheme="minorEastAsia" w:hAnsiTheme="minorEastAsia" w:eastAsiaTheme="minorEastAsia" w:cstheme="minorEastAsia"/>
          <w:b/>
          <w:color w:val="auto"/>
          <w:szCs w:val="21"/>
        </w:rPr>
        <w:t>适用法律及范围</w:t>
      </w:r>
      <w:bookmarkEnd w:id="29"/>
      <w:bookmarkEnd w:id="30"/>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本竞争性磋商采购文件仅适用于本次竞争性磋商中所述的项目的采购。</w:t>
      </w:r>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31" w:name="_Toc5979"/>
      <w:bookmarkStart w:id="32" w:name="_Toc30547"/>
      <w:r>
        <w:rPr>
          <w:rFonts w:hint="eastAsia" w:asciiTheme="minorEastAsia" w:hAnsiTheme="minorEastAsia" w:eastAsiaTheme="minorEastAsia" w:cstheme="minorEastAsia"/>
          <w:b/>
          <w:color w:val="auto"/>
          <w:szCs w:val="21"/>
        </w:rPr>
        <w:t>定义</w:t>
      </w:r>
      <w:bookmarkEnd w:id="31"/>
      <w:bookmarkEnd w:id="32"/>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“采购人”：本次磋商的采购人见《供应商须知前附表》。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“监管部门”：本次磋商的监管部门见《供应商须知前附表》。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“采购代理机构”：本次磋商的采购代理机构见《供应商须知前附表》。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“供应商”是指获取本竞争性磋商采购文件的法人、其他组织或者自然人。</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“磋商供应商”是指</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符合</w:t>
      </w:r>
      <w:r>
        <w:rPr>
          <w:rFonts w:hint="eastAsia" w:asciiTheme="minorEastAsia" w:hAnsiTheme="minorEastAsia" w:eastAsiaTheme="minorEastAsia" w:cstheme="minorEastAsia"/>
          <w:color w:val="auto"/>
          <w:szCs w:val="21"/>
        </w:rPr>
        <w:t>具备《中华人民共和国政府采购法》第二十二条规定的条件；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符合《供应商须知前附表》的相应条件；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通过竞争性磋商采购评定办法中初步审核的供应商。</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“成交供应商”</w:t>
      </w:r>
      <w:r>
        <w:rPr>
          <w:rFonts w:hint="eastAsia" w:asciiTheme="minorEastAsia" w:hAnsiTheme="minorEastAsia" w:eastAsiaTheme="minorEastAsia" w:cstheme="minorEastAsia"/>
          <w:snapToGrid w:val="0"/>
          <w:color w:val="auto"/>
          <w:kern w:val="0"/>
          <w:szCs w:val="21"/>
          <w:lang w:val="zh-CN"/>
        </w:rPr>
        <w:t xml:space="preserve"> 是指经磋商小组评审推荐，采购人授予合同的供应商。</w:t>
      </w:r>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33" w:name="_Toc18899"/>
      <w:bookmarkStart w:id="34" w:name="_Toc30503"/>
      <w:r>
        <w:rPr>
          <w:rFonts w:hint="eastAsia" w:asciiTheme="minorEastAsia" w:hAnsiTheme="minorEastAsia" w:eastAsiaTheme="minorEastAsia" w:cstheme="minorEastAsia"/>
          <w:b/>
          <w:snapToGrid w:val="0"/>
          <w:color w:val="auto"/>
          <w:kern w:val="0"/>
          <w:szCs w:val="21"/>
          <w:lang w:val="zh-CN"/>
        </w:rPr>
        <w:t>工程、货物及服务</w:t>
      </w:r>
      <w:bookmarkEnd w:id="33"/>
      <w:bookmarkEnd w:id="34"/>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“工程”是指建设工程，包括建筑物和构筑物的新建、改建、扩建及其相关的装修、拆除、修缮等。</w:t>
      </w:r>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“货物”是指各种形态和种类的物品，包括原材料、燃料、设备、产品等。</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35" w:name="_Toc18584"/>
      <w:bookmarkStart w:id="36" w:name="_Toc9974"/>
      <w:r>
        <w:rPr>
          <w:rFonts w:hint="eastAsia" w:asciiTheme="minorEastAsia" w:hAnsiTheme="minorEastAsia" w:eastAsiaTheme="minorEastAsia" w:cstheme="minorEastAsia"/>
          <w:b/>
          <w:color w:val="auto"/>
          <w:szCs w:val="21"/>
        </w:rPr>
        <w:t>费用</w:t>
      </w:r>
      <w:bookmarkEnd w:id="35"/>
      <w:bookmarkEnd w:id="36"/>
      <w:r>
        <w:rPr>
          <w:rFonts w:hint="eastAsia" w:asciiTheme="minorEastAsia" w:hAnsiTheme="minorEastAsia" w:eastAsiaTheme="minorEastAsia" w:cstheme="minorEastAsia"/>
          <w:b/>
          <w:color w:val="auto"/>
          <w:szCs w:val="21"/>
        </w:rPr>
        <w:t xml:space="preserve">  </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供应商应承担所有与准备和参加磋商有关的费用，不论磋商的结果如何，采购人和采购代理机构均无义务和责任承担这些费用。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招标代理服务费：成交供应商须在收到成交通知书时向采购代理机构支付招标代理服务费。服务费支付标准和方法详见《供应商须知前附表》。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国家计委计价格[2002]1980 号规定标准收费：</w:t>
      </w:r>
    </w:p>
    <w:tbl>
      <w:tblPr>
        <w:tblStyle w:val="2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r>
    </w:tbl>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0---100：100×1.500％=15000.000元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100---500：400×1.100％=44000.000元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500---1000：500×0.800％=40000.000元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1000---5000：4000×0.500％=200000.000元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5000---6000：1000×0.250％=25000.000元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合计收费=324000.000元</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37" w:name="_Toc22834"/>
      <w:r>
        <w:rPr>
          <w:rFonts w:hint="eastAsia" w:asciiTheme="minorEastAsia" w:hAnsiTheme="minorEastAsia" w:eastAsiaTheme="minorEastAsia" w:cstheme="minorEastAsia"/>
          <w:b/>
          <w:color w:val="auto"/>
          <w:szCs w:val="21"/>
        </w:rPr>
        <w:t>竞争性磋商采购文件</w:t>
      </w:r>
      <w:bookmarkEnd w:id="37"/>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38" w:name="_Toc21082"/>
      <w:bookmarkStart w:id="39" w:name="_Toc4547"/>
      <w:r>
        <w:rPr>
          <w:rFonts w:hint="eastAsia" w:asciiTheme="minorEastAsia" w:hAnsiTheme="minorEastAsia" w:eastAsiaTheme="minorEastAsia" w:cstheme="minorEastAsia"/>
          <w:b/>
          <w:color w:val="auto"/>
          <w:szCs w:val="21"/>
        </w:rPr>
        <w:t>竞争性磋商采购文件的构成</w:t>
      </w:r>
      <w:bookmarkEnd w:id="38"/>
      <w:bookmarkEnd w:id="39"/>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本竞争性磋商采购文件包括：</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磋商公告</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供应商须知</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竞争性磋商采购评定办法</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合同书格式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竞争性磋商响应文件格式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采购过程中由采购代理机构发出的澄清和修正文件</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磋商小组在磋商过程中发出的对本磋商文件的实质性变动</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0" w:name="_Toc12527"/>
      <w:bookmarkStart w:id="41" w:name="_Toc29700"/>
      <w:r>
        <w:rPr>
          <w:rFonts w:hint="eastAsia" w:asciiTheme="minorEastAsia" w:hAnsiTheme="minorEastAsia" w:eastAsiaTheme="minorEastAsia" w:cstheme="minorEastAsia"/>
          <w:b/>
          <w:snapToGrid w:val="0"/>
          <w:color w:val="auto"/>
          <w:kern w:val="0"/>
          <w:szCs w:val="21"/>
          <w:lang w:val="zh-CN"/>
        </w:rPr>
        <w:t>竞争性磋商采购文件的澄清</w:t>
      </w:r>
      <w:bookmarkEnd w:id="40"/>
      <w:bookmarkEnd w:id="41"/>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供应商获取竞争性磋商采购文件后，应认真检查，如发现页数不全、附件缺失、印刷模糊等，应通知采购代理机构补全或更换，否则风险自负。</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供应商在规定的时间内未对竞争性磋商采购文件澄清或提出疑问的，采购代理机构将视其为同意。</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澄清的内容是本竞争性磋商采购文件的组成部分，当竞争性磋商采购文件</w:t>
      </w:r>
      <w:r>
        <w:rPr>
          <w:rFonts w:hint="eastAsia" w:asciiTheme="minorEastAsia" w:hAnsiTheme="minorEastAsia" w:eastAsiaTheme="minorEastAsia" w:cstheme="minorEastAsia"/>
          <w:color w:val="auto"/>
          <w:szCs w:val="21"/>
        </w:rPr>
        <w:t>、澄清文件对同一内容的表述不一致时，以最后发出的书面文件为准。</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2" w:name="_Toc5685"/>
      <w:bookmarkStart w:id="43" w:name="_Toc31761"/>
      <w:r>
        <w:rPr>
          <w:rFonts w:hint="eastAsia" w:asciiTheme="minorEastAsia" w:hAnsiTheme="minorEastAsia" w:eastAsiaTheme="minorEastAsia" w:cstheme="minorEastAsia"/>
          <w:b/>
          <w:snapToGrid w:val="0"/>
          <w:color w:val="auto"/>
          <w:kern w:val="0"/>
          <w:szCs w:val="21"/>
          <w:lang w:val="zh-CN"/>
        </w:rPr>
        <w:t>竞争性磋商采购文件的修改</w:t>
      </w:r>
      <w:bookmarkEnd w:id="42"/>
      <w:bookmarkEnd w:id="43"/>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当磋商文件、修改文件对同一内容的表述不一致时，以最后发出的书面文件为准。</w:t>
      </w:r>
    </w:p>
    <w:p>
      <w:pPr>
        <w:numPr>
          <w:ilvl w:val="1"/>
          <w:numId w:val="15"/>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个工作日前发出，不足</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个工作日的，采购人、采购代理机构将顺延提交首次响应文件截止之日。</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44" w:name="_Toc1474"/>
      <w:r>
        <w:rPr>
          <w:rFonts w:hint="eastAsia" w:asciiTheme="minorEastAsia" w:hAnsiTheme="minorEastAsia" w:eastAsiaTheme="minorEastAsia" w:cstheme="minorEastAsia"/>
          <w:b/>
          <w:color w:val="auto"/>
          <w:szCs w:val="21"/>
        </w:rPr>
        <w:t>竞争性磋商响应文件</w:t>
      </w:r>
      <w:bookmarkEnd w:id="44"/>
    </w:p>
    <w:p>
      <w:pPr>
        <w:numPr>
          <w:ilvl w:val="0"/>
          <w:numId w:val="8"/>
        </w:numPr>
        <w:spacing w:line="360" w:lineRule="auto"/>
        <w:ind w:hanging="540"/>
        <w:outlineLvl w:val="1"/>
        <w:rPr>
          <w:rFonts w:asciiTheme="minorEastAsia" w:hAnsiTheme="minorEastAsia" w:eastAsiaTheme="minorEastAsia" w:cstheme="minorEastAsia"/>
          <w:snapToGrid w:val="0"/>
          <w:color w:val="auto"/>
          <w:kern w:val="0"/>
          <w:szCs w:val="21"/>
          <w:lang w:val="zh-CN"/>
        </w:rPr>
      </w:pPr>
      <w:bookmarkStart w:id="45" w:name="_Toc30987"/>
      <w:bookmarkStart w:id="46" w:name="_Toc12718"/>
      <w:r>
        <w:rPr>
          <w:rFonts w:hint="eastAsia" w:asciiTheme="minorEastAsia" w:hAnsiTheme="minorEastAsia" w:eastAsiaTheme="minorEastAsia" w:cstheme="minorEastAsia"/>
          <w:b/>
          <w:snapToGrid w:val="0"/>
          <w:color w:val="auto"/>
          <w:kern w:val="0"/>
          <w:szCs w:val="21"/>
          <w:lang w:val="zh-CN"/>
        </w:rPr>
        <w:t>语言和计量单位</w:t>
      </w:r>
      <w:bookmarkEnd w:id="45"/>
      <w:bookmarkEnd w:id="46"/>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除非竞争性磋商采购文件中另有规定，计量单位均采用中华人民共和国法定的计量单位。</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7" w:name="_Toc32272"/>
      <w:bookmarkStart w:id="48" w:name="_Toc29725"/>
      <w:r>
        <w:rPr>
          <w:rFonts w:hint="eastAsia" w:asciiTheme="minorEastAsia" w:hAnsiTheme="minorEastAsia" w:eastAsiaTheme="minorEastAsia" w:cstheme="minorEastAsia"/>
          <w:b/>
          <w:snapToGrid w:val="0"/>
          <w:color w:val="auto"/>
          <w:kern w:val="0"/>
          <w:szCs w:val="21"/>
          <w:lang w:val="zh-CN"/>
        </w:rPr>
        <w:t>竞争性磋商响应文件的构成</w:t>
      </w:r>
      <w:bookmarkEnd w:id="47"/>
      <w:bookmarkEnd w:id="48"/>
    </w:p>
    <w:p>
      <w:pPr>
        <w:numPr>
          <w:ilvl w:val="1"/>
          <w:numId w:val="17"/>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供应商编制的竞争性磋商响应</w:t>
      </w:r>
      <w:r>
        <w:rPr>
          <w:rFonts w:hint="eastAsia" w:asciiTheme="minorEastAsia" w:hAnsiTheme="minorEastAsia" w:eastAsiaTheme="minorEastAsia" w:cstheme="minorEastAsia"/>
          <w:snapToGrid w:val="0"/>
          <w:color w:val="auto"/>
          <w:kern w:val="0"/>
          <w:szCs w:val="21"/>
        </w:rPr>
        <w:t>文</w:t>
      </w:r>
      <w:r>
        <w:rPr>
          <w:rFonts w:hint="eastAsia" w:asciiTheme="minorEastAsia" w:hAnsiTheme="minorEastAsia" w:eastAsiaTheme="minorEastAsia" w:cstheme="minorEastAsia"/>
          <w:snapToGrid w:val="0"/>
          <w:color w:val="auto"/>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bCs/>
          <w:color w:val="auto"/>
          <w:szCs w:val="21"/>
        </w:rPr>
        <w:t>注：响应文件目录及内容每页须顺序编写页码。</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9" w:name="_Toc30825"/>
      <w:bookmarkStart w:id="50" w:name="_Toc25217"/>
      <w:r>
        <w:rPr>
          <w:rFonts w:hint="eastAsia" w:asciiTheme="minorEastAsia" w:hAnsiTheme="minorEastAsia" w:eastAsiaTheme="minorEastAsia" w:cstheme="minorEastAsia"/>
          <w:b/>
          <w:snapToGrid w:val="0"/>
          <w:color w:val="auto"/>
          <w:kern w:val="0"/>
          <w:szCs w:val="21"/>
          <w:lang w:val="zh-CN"/>
        </w:rPr>
        <w:t>竞争性磋商响应文件的编制</w:t>
      </w:r>
      <w:bookmarkEnd w:id="49"/>
      <w:bookmarkEnd w:id="50"/>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供应商在编制响应文件时应注意本次采购对多包采购的规定，多包采购的规定见《供应商须知前附表》。</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1" w:name="_Toc28198"/>
      <w:bookmarkStart w:id="52" w:name="_Toc24544"/>
      <w:r>
        <w:rPr>
          <w:rFonts w:hint="eastAsia" w:asciiTheme="minorEastAsia" w:hAnsiTheme="minorEastAsia" w:eastAsiaTheme="minorEastAsia" w:cstheme="minorEastAsia"/>
          <w:b/>
          <w:snapToGrid w:val="0"/>
          <w:color w:val="auto"/>
          <w:kern w:val="0"/>
          <w:szCs w:val="21"/>
          <w:lang w:val="zh-CN"/>
        </w:rPr>
        <w:t>磋商报价</w:t>
      </w:r>
      <w:bookmarkEnd w:id="51"/>
      <w:bookmarkEnd w:id="52"/>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磋商报价包括磋商供应商在首次提交的响应文件中的报价、磋商过程中的报价和最后报价。磋商供应商的报价均应以人民币报价。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供应商应根据本磋商文件的规定和要求、市场价格水平及其走势、</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供应商的管理水平、</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w:t>
      </w:r>
      <w:r>
        <w:rPr>
          <w:rFonts w:hint="eastAsia" w:asciiTheme="minorEastAsia" w:hAnsiTheme="minorEastAsia" w:eastAsiaTheme="minorEastAsia" w:cstheme="minorEastAsia"/>
          <w:snapToGrid w:val="0"/>
          <w:color w:val="auto"/>
          <w:kern w:val="0"/>
          <w:szCs w:val="21"/>
          <w:lang w:val="zh-CN"/>
        </w:rPr>
        <w:t>方案</w:t>
      </w:r>
      <w:r>
        <w:rPr>
          <w:rFonts w:hint="eastAsia" w:asciiTheme="minorEastAsia" w:hAnsiTheme="minorEastAsia" w:eastAsiaTheme="minorEastAsia" w:cstheme="minorEastAsia"/>
          <w:color w:val="auto"/>
          <w:szCs w:val="21"/>
        </w:rPr>
        <w:t>和由这些因素决定的磋商供应商之于本项目的成本水平等提出自己的报价。</w:t>
      </w:r>
      <w:r>
        <w:rPr>
          <w:rFonts w:hint="eastAsia" w:asciiTheme="minorEastAsia" w:hAnsiTheme="minorEastAsia" w:eastAsiaTheme="minorEastAsia" w:cstheme="minorEastAsia"/>
          <w:snapToGrid w:val="0"/>
          <w:color w:val="auto"/>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color w:val="auto"/>
          <w:szCs w:val="21"/>
        </w:rPr>
        <w:t>但磋商供应商不得以低于其成本的价格进行报价。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供应商在响应文件中</w:t>
      </w:r>
      <w:r>
        <w:rPr>
          <w:rFonts w:hint="eastAsia" w:asciiTheme="minorEastAsia" w:hAnsiTheme="minorEastAsia" w:eastAsiaTheme="minorEastAsia" w:cstheme="minorEastAsia"/>
          <w:snapToGrid w:val="0"/>
          <w:color w:val="auto"/>
          <w:kern w:val="0"/>
          <w:szCs w:val="21"/>
          <w:lang w:val="zh-CN"/>
        </w:rPr>
        <w:t>注明免费的项目将视为包含在报价中。</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每一种采购内容只允许有一个报价，否则其响应文件将被视为无效文件。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成交供应商的报价在合同执行过程中是固定不变的，不得以任何理由予以变更。</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3" w:name="_Toc5312"/>
      <w:bookmarkStart w:id="54" w:name="_Toc6176"/>
      <w:r>
        <w:rPr>
          <w:rFonts w:hint="eastAsia" w:asciiTheme="minorEastAsia" w:hAnsiTheme="minorEastAsia" w:eastAsiaTheme="minorEastAsia" w:cstheme="minorEastAsia"/>
          <w:b/>
          <w:snapToGrid w:val="0"/>
          <w:color w:val="auto"/>
          <w:kern w:val="0"/>
          <w:szCs w:val="21"/>
          <w:lang w:val="zh-CN"/>
        </w:rPr>
        <w:t>备选方案</w:t>
      </w:r>
      <w:bookmarkEnd w:id="53"/>
      <w:bookmarkEnd w:id="54"/>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是否允许备选方案见《供应商须知前附表》。不允许有备选方案的，若在响应文件中提交了备选方案，其响应文件将被视为无效文件。 </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5" w:name="_Toc6770"/>
      <w:bookmarkStart w:id="56" w:name="_Toc3324"/>
      <w:r>
        <w:rPr>
          <w:rFonts w:hint="eastAsia" w:asciiTheme="minorEastAsia" w:hAnsiTheme="minorEastAsia" w:eastAsiaTheme="minorEastAsia" w:cstheme="minorEastAsia"/>
          <w:b/>
          <w:snapToGrid w:val="0"/>
          <w:color w:val="auto"/>
          <w:kern w:val="0"/>
          <w:szCs w:val="21"/>
          <w:lang w:val="zh-CN"/>
        </w:rPr>
        <w:t>联合体</w:t>
      </w:r>
      <w:bookmarkEnd w:id="55"/>
      <w:bookmarkEnd w:id="56"/>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本次采购是否允许联合体参加详见《供应商须知前附表》。 </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本次采购允许联合体报价的，联合体各方不得再单独或者与其他供应商另外组成联合体参加本项目的报价。</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7" w:name="_Toc10759"/>
      <w:bookmarkStart w:id="58" w:name="_Toc2434"/>
      <w:r>
        <w:rPr>
          <w:rFonts w:hint="eastAsia" w:asciiTheme="minorEastAsia" w:hAnsiTheme="minorEastAsia" w:eastAsiaTheme="minorEastAsia" w:cstheme="minorEastAsia"/>
          <w:b/>
          <w:snapToGrid w:val="0"/>
          <w:color w:val="auto"/>
          <w:kern w:val="0"/>
          <w:szCs w:val="21"/>
          <w:lang w:val="zh-CN"/>
        </w:rPr>
        <w:t>供应商资格证明文件</w:t>
      </w:r>
      <w:bookmarkEnd w:id="57"/>
      <w:bookmarkEnd w:id="58"/>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供应商应在响应文件提交证明其有资格参加磋商的证明文件，证明文件应包括下列文件：</w:t>
      </w:r>
    </w:p>
    <w:p>
      <w:pPr>
        <w:numPr>
          <w:ilvl w:val="3"/>
          <w:numId w:val="23"/>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color w:val="auto"/>
          <w:kern w:val="0"/>
          <w:szCs w:val="21"/>
        </w:rPr>
        <w:t>实质性要求</w:t>
      </w:r>
      <w:r>
        <w:rPr>
          <w:rFonts w:hint="eastAsia" w:asciiTheme="minorEastAsia" w:hAnsiTheme="minorEastAsia" w:eastAsiaTheme="minorEastAsia" w:cstheme="minorEastAsia"/>
          <w:snapToGrid w:val="0"/>
          <w:color w:val="auto"/>
          <w:kern w:val="0"/>
          <w:szCs w:val="21"/>
          <w:lang w:val="zh-CN"/>
        </w:rPr>
        <w:t>）见《供应商须知前附表》。</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除本须知14.1要求的资格证明文件外，如国家法律法规对市场准入有要求的还应提交相关资格证明文件。</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color w:val="auto"/>
          <w:kern w:val="0"/>
          <w:szCs w:val="21"/>
        </w:rPr>
        <w:t>每页</w:t>
      </w:r>
      <w:r>
        <w:rPr>
          <w:rFonts w:hint="eastAsia" w:asciiTheme="minorEastAsia" w:hAnsiTheme="minorEastAsia" w:eastAsiaTheme="minorEastAsia" w:cstheme="minorEastAsia"/>
          <w:snapToGrid w:val="0"/>
          <w:color w:val="auto"/>
          <w:kern w:val="0"/>
          <w:szCs w:val="21"/>
          <w:lang w:val="zh-CN"/>
        </w:rPr>
        <w:t>加盖单位印章，</w:t>
      </w:r>
      <w:r>
        <w:rPr>
          <w:rFonts w:hint="eastAsia" w:asciiTheme="minorEastAsia" w:hAnsiTheme="minorEastAsia" w:eastAsiaTheme="minorEastAsia" w:cstheme="minorEastAsia"/>
          <w:snapToGrid w:val="0"/>
          <w:color w:val="auto"/>
          <w:kern w:val="0"/>
          <w:szCs w:val="21"/>
        </w:rPr>
        <w:t>否则做废标处理</w:t>
      </w:r>
      <w:r>
        <w:rPr>
          <w:rFonts w:hint="eastAsia" w:asciiTheme="minorEastAsia" w:hAnsiTheme="minorEastAsia" w:eastAsiaTheme="minorEastAsia" w:cstheme="minorEastAsia"/>
          <w:snapToGrid w:val="0"/>
          <w:color w:val="auto"/>
          <w:kern w:val="0"/>
          <w:szCs w:val="21"/>
          <w:lang w:val="zh-CN"/>
        </w:rPr>
        <w:t>。</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9" w:name="_Toc9935"/>
      <w:bookmarkStart w:id="60" w:name="_Toc12726"/>
      <w:r>
        <w:rPr>
          <w:rFonts w:hint="eastAsia" w:asciiTheme="minorEastAsia" w:hAnsiTheme="minorEastAsia" w:eastAsiaTheme="minorEastAsia" w:cstheme="minorEastAsia"/>
          <w:b/>
          <w:snapToGrid w:val="0"/>
          <w:color w:val="auto"/>
          <w:kern w:val="0"/>
          <w:szCs w:val="21"/>
          <w:lang w:val="zh-CN"/>
        </w:rPr>
        <w:t>证明报价内容、服务合格性和符合竞争性磋商采购文件规定的文件</w:t>
      </w:r>
      <w:bookmarkEnd w:id="59"/>
      <w:bookmarkEnd w:id="60"/>
    </w:p>
    <w:p>
      <w:pPr>
        <w:numPr>
          <w:ilvl w:val="1"/>
          <w:numId w:val="24"/>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证明报价内容符合竞争性磋商采购文件要求的文件和竞争性磋商采购文件规定的其他资料，具体要求见《供应商须知前附表》。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1" w:name="_Toc28176"/>
      <w:bookmarkStart w:id="62" w:name="_Toc27068"/>
      <w:r>
        <w:rPr>
          <w:rFonts w:hint="eastAsia" w:asciiTheme="minorEastAsia" w:hAnsiTheme="minorEastAsia" w:eastAsiaTheme="minorEastAsia" w:cstheme="minorEastAsia"/>
          <w:b/>
          <w:snapToGrid w:val="0"/>
          <w:color w:val="auto"/>
          <w:kern w:val="0"/>
          <w:szCs w:val="21"/>
          <w:lang w:val="zh-CN"/>
        </w:rPr>
        <w:t>磋商保证金</w:t>
      </w:r>
      <w:bookmarkEnd w:id="61"/>
      <w:bookmarkEnd w:id="62"/>
    </w:p>
    <w:p>
      <w:pPr>
        <w:numPr>
          <w:ilvl w:val="1"/>
          <w:numId w:val="25"/>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本采购文件是否要求递交磋商保证金及保证金金额、递交方式、递交时间、接受保证金的帐户信息等详见《供应商须知前附表》。</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color w:val="auto"/>
          <w:szCs w:val="21"/>
          <w:lang w:val="zh-CN"/>
        </w:rPr>
        <w:t>以到账为准。</w:t>
      </w:r>
      <w:r>
        <w:rPr>
          <w:rFonts w:hint="eastAsia" w:asciiTheme="minorEastAsia" w:hAnsiTheme="minorEastAsia" w:eastAsiaTheme="minorEastAsia" w:cstheme="minorEastAsia"/>
          <w:snapToGrid w:val="0"/>
          <w:color w:val="auto"/>
          <w:kern w:val="0"/>
          <w:szCs w:val="21"/>
          <w:lang w:val="zh-CN"/>
        </w:rPr>
        <w:t>凡未按规定递交磋商保证金的报价，其响应文件将被视为无效文件。</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磋商保证金有效时间：磋商保证金的有效期与本次磋商有效期一致。</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供应商为联合体的，应由联合体中牵头人缴纳保证金，其缴纳的保证金对联合体各方均具有约束力。</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有下列情形之一的，磋商保证金将不予退还:</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供应商在提交响应文件截止时间后撤回响应文件的；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供应商在响应文件中提供虚假材料的；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除因不可抗力或磋商文件认可的情形以外，成交供应商不与采购人签订合同的；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供应商与采购人、其他供应商或者采购代理机构恶意串通的；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本采购文件规定的其他情形。</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3" w:name="_Toc6848"/>
      <w:bookmarkStart w:id="64" w:name="_Toc5668"/>
      <w:r>
        <w:rPr>
          <w:rFonts w:hint="eastAsia" w:asciiTheme="minorEastAsia" w:hAnsiTheme="minorEastAsia" w:eastAsiaTheme="minorEastAsia" w:cstheme="minorEastAsia"/>
          <w:b/>
          <w:snapToGrid w:val="0"/>
          <w:color w:val="auto"/>
          <w:kern w:val="0"/>
          <w:szCs w:val="21"/>
          <w:lang w:val="zh-CN"/>
        </w:rPr>
        <w:t>磋商有效期</w:t>
      </w:r>
      <w:bookmarkEnd w:id="63"/>
      <w:bookmarkEnd w:id="64"/>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5" w:name="_Toc8272"/>
      <w:bookmarkStart w:id="66" w:name="_Toc7081"/>
      <w:r>
        <w:rPr>
          <w:rFonts w:hint="eastAsia" w:asciiTheme="minorEastAsia" w:hAnsiTheme="minorEastAsia" w:eastAsiaTheme="minorEastAsia" w:cstheme="minorEastAsia"/>
          <w:b/>
          <w:snapToGrid w:val="0"/>
          <w:color w:val="auto"/>
          <w:kern w:val="0"/>
          <w:szCs w:val="21"/>
          <w:lang w:val="zh-CN"/>
        </w:rPr>
        <w:t>竞争性磋商响应文件的装订、签署和数量</w:t>
      </w:r>
      <w:bookmarkEnd w:id="65"/>
      <w:bookmarkEnd w:id="66"/>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与响应文件正本不符，以正本为准。电子文档与纸质文件不符，以纸质文件为准。</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竞争性磋商响应文件中的任何行间插字、涂改和增删，必须由法定代表人或授权代表在旁边签字才有效。</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响应文件应当采用不可拆卸的方法的装订，对未经装订的竞争性磋商响应文件可能发生的文件散落或缺损及由此产生的后果由磋商供应商承担。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67" w:name="_Toc16246"/>
      <w:r>
        <w:rPr>
          <w:rFonts w:hint="eastAsia" w:asciiTheme="minorEastAsia" w:hAnsiTheme="minorEastAsia" w:eastAsiaTheme="minorEastAsia" w:cstheme="minorEastAsia"/>
          <w:b/>
          <w:color w:val="auto"/>
          <w:szCs w:val="21"/>
        </w:rPr>
        <w:t>竞争性磋商响应文件的递交</w:t>
      </w:r>
      <w:bookmarkEnd w:id="67"/>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8" w:name="_Toc28199"/>
      <w:bookmarkStart w:id="69" w:name="_Toc27305"/>
      <w:r>
        <w:rPr>
          <w:rFonts w:hint="eastAsia" w:asciiTheme="minorEastAsia" w:hAnsiTheme="minorEastAsia" w:eastAsiaTheme="minorEastAsia" w:cstheme="minorEastAsia"/>
          <w:b/>
          <w:color w:val="auto"/>
          <w:szCs w:val="21"/>
        </w:rPr>
        <w:t>竞争性磋商响应文件</w:t>
      </w:r>
      <w:r>
        <w:rPr>
          <w:rFonts w:hint="eastAsia" w:asciiTheme="minorEastAsia" w:hAnsiTheme="minorEastAsia" w:eastAsiaTheme="minorEastAsia" w:cstheme="minorEastAsia"/>
          <w:b/>
          <w:snapToGrid w:val="0"/>
          <w:color w:val="auto"/>
          <w:kern w:val="0"/>
          <w:szCs w:val="21"/>
          <w:lang w:val="zh-CN"/>
        </w:rPr>
        <w:t>的密封和标记</w:t>
      </w:r>
      <w:bookmarkEnd w:id="68"/>
      <w:bookmarkEnd w:id="69"/>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响应文件的正本、所有副本和电子文档必须密封，</w:t>
      </w:r>
      <w:r>
        <w:rPr>
          <w:rFonts w:hint="eastAsia" w:asciiTheme="minorEastAsia" w:hAnsiTheme="minorEastAsia" w:eastAsiaTheme="minorEastAsia" w:cstheme="minorEastAsia"/>
          <w:snapToGrid w:val="0"/>
          <w:color w:val="auto"/>
          <w:kern w:val="0"/>
          <w:szCs w:val="21"/>
        </w:rPr>
        <w:t>并在每一页以及骑缝处</w:t>
      </w:r>
      <w:r>
        <w:rPr>
          <w:rFonts w:hint="eastAsia" w:asciiTheme="minorEastAsia" w:hAnsiTheme="minorEastAsia" w:eastAsiaTheme="minorEastAsia" w:cstheme="minorEastAsia"/>
          <w:snapToGrid w:val="0"/>
          <w:color w:val="auto"/>
          <w:kern w:val="0"/>
          <w:szCs w:val="21"/>
          <w:lang w:val="zh-CN"/>
        </w:rPr>
        <w:t>加盖供应商公章</w:t>
      </w:r>
      <w:r>
        <w:rPr>
          <w:rFonts w:hint="eastAsia" w:asciiTheme="minorEastAsia" w:hAnsiTheme="minorEastAsia" w:eastAsiaTheme="minorEastAsia" w:cstheme="minorEastAsia"/>
          <w:snapToGrid w:val="0"/>
          <w:color w:val="auto"/>
          <w:kern w:val="0"/>
          <w:szCs w:val="21"/>
        </w:rPr>
        <w:t>后</w:t>
      </w:r>
      <w:r>
        <w:rPr>
          <w:rFonts w:hint="eastAsia" w:asciiTheme="minorEastAsia" w:hAnsiTheme="minorEastAsia" w:eastAsiaTheme="minorEastAsia" w:cstheme="minorEastAsia"/>
          <w:snapToGrid w:val="0"/>
          <w:color w:val="auto"/>
          <w:kern w:val="0"/>
          <w:szCs w:val="21"/>
          <w:lang w:val="zh-CN"/>
        </w:rPr>
        <w:t>递交，包装上应注明</w:t>
      </w:r>
      <w:r>
        <w:rPr>
          <w:rFonts w:hint="eastAsia" w:asciiTheme="minorEastAsia" w:hAnsiTheme="minorEastAsia" w:eastAsiaTheme="minorEastAsia" w:cstheme="minorEastAsia"/>
          <w:snapToGrid w:val="0"/>
          <w:color w:val="auto"/>
          <w:kern w:val="0"/>
          <w:szCs w:val="21"/>
        </w:rPr>
        <w:t>项目</w:t>
      </w:r>
      <w:r>
        <w:rPr>
          <w:rFonts w:hint="eastAsia" w:asciiTheme="minorEastAsia" w:hAnsiTheme="minorEastAsia" w:eastAsiaTheme="minorEastAsia" w:cstheme="minorEastAsia"/>
          <w:snapToGrid w:val="0"/>
          <w:color w:val="auto"/>
          <w:kern w:val="0"/>
          <w:szCs w:val="21"/>
          <w:lang w:val="zh-CN"/>
        </w:rPr>
        <w:t>编号、项目名称、包号、供应商名称及“</w:t>
      </w:r>
      <w:r>
        <w:rPr>
          <w:rFonts w:hint="eastAsia" w:asciiTheme="minorEastAsia" w:hAnsiTheme="minorEastAsia" w:eastAsiaTheme="minorEastAsia" w:cstheme="minorEastAsia"/>
          <w:snapToGrid w:val="0"/>
          <w:color w:val="auto"/>
          <w:kern w:val="0"/>
          <w:szCs w:val="21"/>
          <w:u w:val="single"/>
          <w:lang w:val="zh-CN"/>
        </w:rPr>
        <w:t xml:space="preserve">  （磋商</w:t>
      </w:r>
      <w:r>
        <w:rPr>
          <w:rFonts w:hint="eastAsia" w:asciiTheme="minorEastAsia" w:hAnsiTheme="minorEastAsia" w:eastAsiaTheme="minorEastAsia" w:cstheme="minorEastAsia"/>
          <w:snapToGrid w:val="0"/>
          <w:color w:val="auto"/>
          <w:kern w:val="0"/>
          <w:szCs w:val="21"/>
          <w:u w:val="single"/>
        </w:rPr>
        <w:t>截止</w:t>
      </w:r>
      <w:r>
        <w:rPr>
          <w:rFonts w:hint="eastAsia" w:asciiTheme="minorEastAsia" w:hAnsiTheme="minorEastAsia" w:eastAsiaTheme="minorEastAsia" w:cstheme="minorEastAsia"/>
          <w:snapToGrid w:val="0"/>
          <w:color w:val="auto"/>
          <w:kern w:val="0"/>
          <w:szCs w:val="21"/>
          <w:u w:val="single"/>
          <w:lang w:val="zh-CN"/>
        </w:rPr>
        <w:t>时间）  前</w:t>
      </w:r>
      <w:r>
        <w:rPr>
          <w:rFonts w:hint="eastAsia" w:asciiTheme="minorEastAsia" w:hAnsiTheme="minorEastAsia" w:eastAsiaTheme="minorEastAsia" w:cstheme="minorEastAsia"/>
          <w:snapToGrid w:val="0"/>
          <w:color w:val="auto"/>
          <w:kern w:val="0"/>
          <w:szCs w:val="21"/>
          <w:lang w:val="zh-CN"/>
        </w:rPr>
        <w:t>不得启封”的字样。</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未按要求密封和加写标记的响应文件为无效文件，采购人、采购代理机构将拒收。</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要求在磋商时提交样品的，是否在样品上标明磋商供应商名称，有关提交及退还样品的相关规定。见《供应商须知前附表》。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0" w:name="_Toc10937"/>
      <w:bookmarkStart w:id="71" w:name="_Toc17857"/>
      <w:r>
        <w:rPr>
          <w:rFonts w:hint="eastAsia" w:asciiTheme="minorEastAsia" w:hAnsiTheme="minorEastAsia" w:eastAsiaTheme="minorEastAsia" w:cstheme="minorEastAsia"/>
          <w:b/>
          <w:snapToGrid w:val="0"/>
          <w:color w:val="auto"/>
          <w:kern w:val="0"/>
          <w:szCs w:val="21"/>
          <w:lang w:val="zh-CN"/>
        </w:rPr>
        <w:t>竞争性磋商响应文件的送达地点及截止时间</w:t>
      </w:r>
      <w:bookmarkEnd w:id="70"/>
      <w:bookmarkEnd w:id="71"/>
    </w:p>
    <w:p>
      <w:pPr>
        <w:autoSpaceDE w:val="0"/>
        <w:autoSpaceDN w:val="0"/>
        <w:adjustRightInd w:val="0"/>
        <w:spacing w:line="360" w:lineRule="auto"/>
        <w:ind w:left="539" w:hanging="539"/>
        <w:jc w:val="left"/>
        <w:rPr>
          <w:rFonts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b/>
          <w:snapToGrid w:val="0"/>
          <w:color w:val="auto"/>
          <w:kern w:val="0"/>
          <w:szCs w:val="21"/>
          <w:lang w:val="zh-CN"/>
        </w:rPr>
        <w:t>20.1</w:t>
      </w:r>
      <w:r>
        <w:rPr>
          <w:rFonts w:hint="eastAsia" w:asciiTheme="minorEastAsia" w:hAnsiTheme="minorEastAsia" w:eastAsiaTheme="minorEastAsia" w:cstheme="minorEastAsia"/>
          <w:b/>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截止时间是</w:t>
      </w:r>
      <w:r>
        <w:rPr>
          <w:rFonts w:hint="eastAsia" w:asciiTheme="minorEastAsia" w:hAnsiTheme="minorEastAsia" w:eastAsiaTheme="minorEastAsia" w:cstheme="minorEastAsia"/>
          <w:b/>
          <w:snapToGrid w:val="0"/>
          <w:color w:val="auto"/>
          <w:kern w:val="0"/>
          <w:szCs w:val="21"/>
          <w:lang w:val="zh-CN"/>
        </w:rPr>
        <w:t>竞争性磋商文件</w:t>
      </w:r>
      <w:r>
        <w:rPr>
          <w:rFonts w:hint="eastAsia" w:asciiTheme="minorEastAsia" w:hAnsiTheme="minorEastAsia" w:eastAsiaTheme="minorEastAsia" w:cstheme="minorEastAsia"/>
          <w:snapToGrid w:val="0"/>
          <w:color w:val="auto"/>
          <w:kern w:val="0"/>
          <w:szCs w:val="21"/>
          <w:lang w:val="zh-CN"/>
        </w:rPr>
        <w:t>中规定的首次送达、提交响应文件的最后时间。本次磋商响应文件的送达地点及截止时间见《供应商须知前附表》。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2" w:name="_Toc31376"/>
      <w:bookmarkStart w:id="73" w:name="_Toc5699"/>
      <w:r>
        <w:rPr>
          <w:rFonts w:hint="eastAsia" w:asciiTheme="minorEastAsia" w:hAnsiTheme="minorEastAsia" w:eastAsiaTheme="minorEastAsia" w:cstheme="minorEastAsia"/>
          <w:b/>
          <w:snapToGrid w:val="0"/>
          <w:color w:val="auto"/>
          <w:kern w:val="0"/>
          <w:szCs w:val="21"/>
          <w:lang w:val="zh-CN"/>
        </w:rPr>
        <w:t>迟交的竞争性磋商响应文件</w:t>
      </w:r>
      <w:bookmarkEnd w:id="72"/>
      <w:bookmarkEnd w:id="73"/>
    </w:p>
    <w:p>
      <w:pPr>
        <w:numPr>
          <w:ilvl w:val="1"/>
          <w:numId w:val="30"/>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在本次磋商递交响应文件的截止时间以后送达的响应文件，不论何种原因，采购代理机构将拒收。</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4" w:name="_Toc31760"/>
      <w:bookmarkStart w:id="75" w:name="_Toc15954"/>
      <w:r>
        <w:rPr>
          <w:rFonts w:hint="eastAsia" w:asciiTheme="minorEastAsia" w:hAnsiTheme="minorEastAsia" w:eastAsiaTheme="minorEastAsia" w:cstheme="minorEastAsia"/>
          <w:b/>
          <w:snapToGrid w:val="0"/>
          <w:color w:val="auto"/>
          <w:kern w:val="0"/>
          <w:szCs w:val="21"/>
          <w:lang w:val="zh-CN"/>
        </w:rPr>
        <w:t>竞争性磋商响应文件的补充、修改或者撤回</w:t>
      </w:r>
      <w:bookmarkEnd w:id="74"/>
      <w:bookmarkEnd w:id="75"/>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响应文件截止时间前，供应商可以对</w:t>
      </w:r>
      <w:r>
        <w:rPr>
          <w:rFonts w:hint="eastAsia" w:asciiTheme="minorEastAsia" w:hAnsiTheme="minorEastAsia" w:eastAsiaTheme="minorEastAsia" w:cstheme="minorEastAsia"/>
          <w:snapToGrid w:val="0"/>
          <w:color w:val="auto"/>
          <w:kern w:val="0"/>
          <w:szCs w:val="21"/>
        </w:rPr>
        <w:t>已</w:t>
      </w:r>
      <w:r>
        <w:rPr>
          <w:rFonts w:hint="eastAsia" w:asciiTheme="minorEastAsia" w:hAnsiTheme="minorEastAsia" w:eastAsiaTheme="minorEastAsia" w:cstheme="minorEastAsia"/>
          <w:snapToGrid w:val="0"/>
          <w:color w:val="auto"/>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从</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color w:val="auto"/>
          <w:kern w:val="0"/>
          <w:szCs w:val="21"/>
        </w:rPr>
        <w:t>撤销</w:t>
      </w:r>
      <w:r>
        <w:rPr>
          <w:rFonts w:hint="eastAsia" w:asciiTheme="minorEastAsia" w:hAnsiTheme="minorEastAsia" w:eastAsiaTheme="minorEastAsia" w:cstheme="minorEastAsia"/>
          <w:snapToGrid w:val="0"/>
          <w:color w:val="auto"/>
          <w:kern w:val="0"/>
          <w:szCs w:val="21"/>
          <w:lang w:val="zh-CN"/>
        </w:rPr>
        <w:t>其响应文件，否则其磋商保证金将不予以退还。</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供应商所提交的响应文件在磋商结束后，无论成交与否都不退还。</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76" w:name="_Toc23245"/>
      <w:r>
        <w:rPr>
          <w:rFonts w:hint="eastAsia" w:asciiTheme="minorEastAsia" w:hAnsiTheme="minorEastAsia" w:eastAsiaTheme="minorEastAsia" w:cstheme="minorEastAsia"/>
          <w:b/>
          <w:color w:val="auto"/>
          <w:szCs w:val="21"/>
        </w:rPr>
        <w:t>磋商程序及步骤</w:t>
      </w:r>
      <w:bookmarkEnd w:id="76"/>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7" w:name="_Toc2391"/>
      <w:bookmarkStart w:id="78" w:name="_Toc22624"/>
      <w:r>
        <w:rPr>
          <w:rFonts w:hint="eastAsia" w:asciiTheme="minorEastAsia" w:hAnsiTheme="minorEastAsia" w:eastAsiaTheme="minorEastAsia" w:cstheme="minorEastAsia"/>
          <w:b/>
          <w:color w:val="auto"/>
        </w:rPr>
        <w:t>竞争性磋商小组</w:t>
      </w:r>
      <w:bookmarkEnd w:id="77"/>
      <w:bookmarkEnd w:id="78"/>
    </w:p>
    <w:p>
      <w:pPr>
        <w:tabs>
          <w:tab w:val="left" w:pos="540"/>
        </w:tabs>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Cs w:val="21"/>
        </w:rPr>
        <w:t>23.1 采购人</w:t>
      </w:r>
      <w:r>
        <w:rPr>
          <w:rFonts w:hint="eastAsia" w:asciiTheme="minorEastAsia" w:hAnsiTheme="minorEastAsia" w:eastAsiaTheme="minorEastAsia" w:cstheme="minorEastAsia"/>
          <w:color w:val="auto"/>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rPr>
        <w:t>磋商小组由采购人代表和评审专家共3人或3人以上单数组成</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rPr>
        <w:t>磋商小组人数详见《供应商须知前附表》。</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23.3 磋商小组所有成员按事先抽取的磋商顺序，集中与单一供应商分别进行磋商，并给予所有参加磋商的供应商平等的磋商机会。</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9" w:name="_Toc27646"/>
      <w:bookmarkStart w:id="80" w:name="_Toc21483"/>
      <w:r>
        <w:rPr>
          <w:rFonts w:hint="eastAsia" w:asciiTheme="minorEastAsia" w:hAnsiTheme="minorEastAsia" w:eastAsiaTheme="minorEastAsia" w:cstheme="minorEastAsia"/>
          <w:b/>
          <w:color w:val="auto"/>
        </w:rPr>
        <w:t>磋商代表</w:t>
      </w:r>
      <w:bookmarkEnd w:id="79"/>
      <w:bookmarkEnd w:id="80"/>
    </w:p>
    <w:p>
      <w:pPr>
        <w:tabs>
          <w:tab w:val="left" w:pos="864"/>
          <w:tab w:val="left" w:pos="1080"/>
        </w:tabs>
        <w:spacing w:line="360" w:lineRule="auto"/>
        <w:ind w:left="539" w:hanging="539"/>
        <w:jc w:val="left"/>
        <w:rPr>
          <w:rFonts w:asciiTheme="minorEastAsia" w:hAnsiTheme="minorEastAsia" w:eastAsiaTheme="minorEastAsia" w:cstheme="minorEastAsia"/>
          <w:color w:val="auto"/>
          <w:szCs w:val="21"/>
        </w:rPr>
      </w:pPr>
      <w:bookmarkStart w:id="81" w:name="_Toc32662"/>
      <w:bookmarkStart w:id="82" w:name="_Toc9967"/>
      <w:r>
        <w:rPr>
          <w:rFonts w:hint="eastAsia" w:asciiTheme="minorEastAsia" w:hAnsiTheme="minorEastAsia" w:eastAsiaTheme="minorEastAsia" w:cstheme="minorEastAsia"/>
          <w:b/>
          <w:color w:val="auto"/>
        </w:rPr>
        <w:t xml:space="preserve">24.1 </w:t>
      </w:r>
      <w:r>
        <w:rPr>
          <w:rFonts w:hint="eastAsia" w:asciiTheme="minorEastAsia" w:hAnsiTheme="minorEastAsia" w:eastAsiaTheme="minorEastAsia" w:cstheme="minorEastAsia"/>
          <w:color w:val="auto"/>
          <w:szCs w:val="21"/>
        </w:rPr>
        <w:t>磋商供应商法定代表人或授权代表应携带本人身份证明参加磋商，授权代表参加磋商的，还应携带法定代表人授权书原件。磋商代表经磋商小组核对身份后，方可参加磋商。</w:t>
      </w:r>
      <w:bookmarkEnd w:id="81"/>
      <w:bookmarkEnd w:id="82"/>
      <w:r>
        <w:rPr>
          <w:rFonts w:hint="eastAsia" w:asciiTheme="minorEastAsia" w:hAnsiTheme="minorEastAsia" w:eastAsiaTheme="minorEastAsia" w:cstheme="minorEastAsia"/>
          <w:color w:val="auto"/>
          <w:szCs w:val="21"/>
        </w:rPr>
        <w:t>磋商代表的其他要求见《供应商须知前附表》。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83" w:name="_Toc19112"/>
      <w:r>
        <w:rPr>
          <w:rFonts w:hint="eastAsia" w:asciiTheme="minorEastAsia" w:hAnsiTheme="minorEastAsia" w:eastAsiaTheme="minorEastAsia" w:cstheme="minorEastAsia"/>
          <w:b/>
          <w:color w:val="auto"/>
        </w:rPr>
        <w:t>资格审查和符合性审查</w:t>
      </w:r>
      <w:bookmarkEnd w:id="83"/>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84" w:name="_Toc26235"/>
      <w:r>
        <w:rPr>
          <w:rFonts w:hint="eastAsia" w:asciiTheme="minorEastAsia" w:hAnsiTheme="minorEastAsia" w:eastAsiaTheme="minorEastAsia" w:cstheme="minorEastAsia"/>
          <w:b/>
          <w:color w:val="auto"/>
        </w:rPr>
        <w:t>磋商</w:t>
      </w:r>
      <w:bookmarkEnd w:id="84"/>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color w:val="auto"/>
        </w:rPr>
        <w:t>术资料、价格和其他信息。</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color w:val="auto"/>
          <w:szCs w:val="21"/>
        </w:rPr>
        <w:t>并提供必要的修正时间。</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26.3供应商应当按照磋商文件的变动情况和磋商小组的要求重新提交响应文件，</w:t>
      </w:r>
      <w:r>
        <w:rPr>
          <w:rFonts w:hint="eastAsia" w:asciiTheme="minorEastAsia" w:hAnsiTheme="minorEastAsia" w:eastAsiaTheme="minorEastAsia" w:cstheme="minorEastAsia"/>
          <w:color w:val="auto"/>
          <w:szCs w:val="21"/>
        </w:rPr>
        <w:t>对原响应文件进行技术、商务、价格修正，重新提交的响应文件应实质性响应本磋商文件及</w:t>
      </w:r>
      <w:r>
        <w:rPr>
          <w:rFonts w:hint="eastAsia" w:asciiTheme="minorEastAsia" w:hAnsiTheme="minorEastAsia" w:eastAsiaTheme="minorEastAsia" w:cstheme="minorEastAsia"/>
          <w:color w:val="auto"/>
        </w:rPr>
        <w:t>对磋商文件作出的实质性变动，</w:t>
      </w:r>
      <w:r>
        <w:rPr>
          <w:rFonts w:hint="eastAsia" w:asciiTheme="minorEastAsia" w:hAnsiTheme="minorEastAsia" w:eastAsiaTheme="minorEastAsia" w:cstheme="minorEastAsia"/>
          <w:color w:val="auto"/>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color w:val="auto"/>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26.5最后报价</w:t>
      </w:r>
    </w:p>
    <w:p>
      <w:pPr>
        <w:spacing w:line="360" w:lineRule="auto"/>
        <w:ind w:left="420" w:leftChars="200" w:firstLine="115" w:firstLine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color w:val="auto"/>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26.6</w:t>
      </w:r>
      <w:r>
        <w:rPr>
          <w:rFonts w:hint="eastAsia" w:asciiTheme="minorEastAsia" w:hAnsiTheme="minorEastAsia" w:eastAsiaTheme="minorEastAsia" w:cstheme="minorEastAsia"/>
          <w:bCs/>
          <w:color w:val="auto"/>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color w:val="auto"/>
        </w:rPr>
        <w:t>提交最后报价</w:t>
      </w:r>
      <w:r>
        <w:rPr>
          <w:rFonts w:hint="eastAsia" w:asciiTheme="minorEastAsia" w:hAnsiTheme="minorEastAsia" w:eastAsiaTheme="minorEastAsia" w:cstheme="minorEastAsia"/>
          <w:bCs/>
          <w:color w:val="auto"/>
          <w:kern w:val="44"/>
          <w:szCs w:val="21"/>
        </w:rPr>
        <w:t>。</w:t>
      </w:r>
    </w:p>
    <w:p>
      <w:pPr>
        <w:spacing w:line="360" w:lineRule="auto"/>
        <w:ind w:left="539" w:hanging="539"/>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color w:val="auto"/>
        </w:rPr>
        <w:t>26.7</w:t>
      </w:r>
      <w:r>
        <w:rPr>
          <w:rFonts w:hint="eastAsia" w:asciiTheme="minorEastAsia" w:hAnsiTheme="minorEastAsia" w:eastAsiaTheme="minorEastAsia" w:cstheme="minorEastAsia"/>
          <w:bCs/>
          <w:color w:val="auto"/>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26.8采购代理机构对磋商过程和重要磋商内容进行记录，磋商双方在记录上签字确认。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85" w:name="_Toc11075"/>
      <w:r>
        <w:rPr>
          <w:rFonts w:hint="eastAsia" w:asciiTheme="minorEastAsia" w:hAnsiTheme="minorEastAsia" w:eastAsiaTheme="minorEastAsia" w:cstheme="minorEastAsia"/>
          <w:b/>
          <w:color w:val="auto"/>
          <w:lang w:val="zh-CN"/>
        </w:rPr>
        <w:t>保密</w:t>
      </w:r>
      <w:bookmarkEnd w:id="85"/>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color w:val="auto"/>
          <w:kern w:val="44"/>
          <w:szCs w:val="21"/>
        </w:rPr>
        <w:t>磋商小组</w:t>
      </w:r>
      <w:r>
        <w:rPr>
          <w:rFonts w:hint="eastAsia" w:asciiTheme="minorEastAsia" w:hAnsiTheme="minorEastAsia" w:eastAsiaTheme="minorEastAsia" w:cstheme="minorEastAsia"/>
          <w:snapToGrid w:val="0"/>
          <w:color w:val="auto"/>
          <w:kern w:val="0"/>
          <w:szCs w:val="21"/>
          <w:lang w:val="zh-CN"/>
        </w:rPr>
        <w:t>及有关工作人员均不得向供应商或其它无关的人员透露。</w:t>
      </w:r>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color w:val="auto"/>
          <w:kern w:val="0"/>
          <w:szCs w:val="21"/>
        </w:rPr>
        <w:t>四</w:t>
      </w:r>
      <w:r>
        <w:rPr>
          <w:rFonts w:hint="eastAsia" w:asciiTheme="minorEastAsia" w:hAnsiTheme="minorEastAsia" w:eastAsiaTheme="minorEastAsia" w:cstheme="minorEastAsia"/>
          <w:snapToGrid w:val="0"/>
          <w:color w:val="auto"/>
          <w:kern w:val="0"/>
          <w:szCs w:val="21"/>
          <w:lang w:val="zh-CN"/>
        </w:rPr>
        <w:t>章“</w:t>
      </w:r>
      <w:r>
        <w:rPr>
          <w:rFonts w:hint="eastAsia" w:asciiTheme="minorEastAsia" w:hAnsiTheme="minorEastAsia" w:eastAsiaTheme="minorEastAsia" w:cstheme="minorEastAsia"/>
          <w:snapToGrid w:val="0"/>
          <w:color w:val="auto"/>
          <w:kern w:val="0"/>
          <w:szCs w:val="21"/>
        </w:rPr>
        <w:t>评定办法</w:t>
      </w:r>
      <w:r>
        <w:rPr>
          <w:rFonts w:hint="eastAsia" w:asciiTheme="minorEastAsia" w:hAnsiTheme="minorEastAsia" w:eastAsiaTheme="minorEastAsia" w:cstheme="minorEastAsia"/>
          <w:snapToGrid w:val="0"/>
          <w:color w:val="auto"/>
          <w:kern w:val="0"/>
          <w:szCs w:val="21"/>
          <w:lang w:val="zh-CN"/>
        </w:rPr>
        <w:t>”。</w:t>
      </w:r>
    </w:p>
    <w:p>
      <w:pPr>
        <w:numPr>
          <w:ilvl w:val="1"/>
          <w:numId w:val="32"/>
        </w:numPr>
        <w:autoSpaceDE w:val="0"/>
        <w:autoSpaceDN w:val="0"/>
        <w:adjustRightInd w:val="0"/>
        <w:spacing w:line="360" w:lineRule="auto"/>
        <w:jc w:val="left"/>
        <w:rPr>
          <w:color w:val="auto"/>
          <w:lang w:val="zh-CN"/>
        </w:rPr>
      </w:pPr>
      <w:r>
        <w:rPr>
          <w:rFonts w:hint="eastAsia" w:asciiTheme="minorEastAsia" w:hAnsiTheme="minorEastAsia" w:eastAsiaTheme="minorEastAsia" w:cstheme="minorEastAsia"/>
          <w:snapToGrid w:val="0"/>
          <w:color w:val="auto"/>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86" w:name="_Toc11527"/>
      <w:bookmarkStart w:id="87" w:name="_Toc15936"/>
      <w:r>
        <w:rPr>
          <w:rFonts w:hint="eastAsia" w:asciiTheme="minorEastAsia" w:hAnsiTheme="minorEastAsia" w:eastAsiaTheme="minorEastAsia" w:cstheme="minorEastAsia"/>
          <w:b/>
          <w:color w:val="auto"/>
          <w:szCs w:val="21"/>
        </w:rPr>
        <w:t>成交与签订合同</w:t>
      </w:r>
      <w:bookmarkEnd w:id="86"/>
      <w:bookmarkEnd w:id="87"/>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88" w:name="_Toc7187"/>
      <w:bookmarkStart w:id="89" w:name="_Toc21514"/>
      <w:r>
        <w:rPr>
          <w:rFonts w:hint="eastAsia" w:asciiTheme="minorEastAsia" w:hAnsiTheme="minorEastAsia" w:eastAsiaTheme="minorEastAsia" w:cstheme="minorEastAsia"/>
          <w:b/>
          <w:color w:val="auto"/>
          <w:lang w:val="zh-CN"/>
        </w:rPr>
        <w:t>合同授予标准</w:t>
      </w:r>
      <w:bookmarkEnd w:id="88"/>
      <w:bookmarkEnd w:id="89"/>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28.1</w:t>
      </w:r>
      <w:r>
        <w:rPr>
          <w:rFonts w:hint="eastAsia" w:asciiTheme="minorEastAsia" w:hAnsiTheme="minorEastAsia" w:eastAsiaTheme="minorEastAsia" w:cstheme="minorEastAsia"/>
          <w:iCs/>
          <w:snapToGrid w:val="0"/>
          <w:color w:val="auto"/>
          <w:kern w:val="0"/>
          <w:szCs w:val="21"/>
        </w:rPr>
        <w:t xml:space="preserve">  </w:t>
      </w:r>
      <w:r>
        <w:rPr>
          <w:rFonts w:hint="eastAsia" w:asciiTheme="minorEastAsia" w:hAnsiTheme="minorEastAsia" w:eastAsiaTheme="minorEastAsia" w:cstheme="minorEastAsia"/>
          <w:iCs/>
          <w:snapToGrid w:val="0"/>
          <w:color w:val="auto"/>
          <w:kern w:val="0"/>
          <w:szCs w:val="21"/>
          <w:lang w:val="zh-CN"/>
        </w:rPr>
        <w:t>采购人将把合同授予排名</w:t>
      </w:r>
      <w:r>
        <w:rPr>
          <w:rFonts w:hint="eastAsia" w:asciiTheme="minorEastAsia" w:hAnsiTheme="minorEastAsia" w:eastAsiaTheme="minorEastAsia" w:cstheme="minorEastAsia"/>
          <w:iCs/>
          <w:snapToGrid w:val="0"/>
          <w:color w:val="auto"/>
          <w:kern w:val="0"/>
          <w:szCs w:val="21"/>
        </w:rPr>
        <w:t>推荐数量</w:t>
      </w:r>
      <w:r>
        <w:rPr>
          <w:rFonts w:hint="eastAsia" w:asciiTheme="minorEastAsia" w:hAnsiTheme="minorEastAsia" w:eastAsiaTheme="minorEastAsia" w:cstheme="minorEastAsia"/>
          <w:iCs/>
          <w:snapToGrid w:val="0"/>
          <w:color w:val="auto"/>
          <w:kern w:val="0"/>
          <w:szCs w:val="21"/>
          <w:lang w:val="zh-CN"/>
        </w:rPr>
        <w:t>的供应商，特殊情况按本须知29.3的规定执行。</w:t>
      </w:r>
    </w:p>
    <w:p>
      <w:pPr>
        <w:spacing w:line="360" w:lineRule="auto"/>
        <w:ind w:left="630" w:hanging="630" w:hangingChars="300"/>
        <w:jc w:val="left"/>
        <w:rPr>
          <w:rFonts w:ascii="宋体" w:hAnsi="宋体" w:cs="宋体"/>
          <w:color w:val="auto"/>
          <w:szCs w:val="21"/>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2  </w:t>
      </w:r>
      <w:r>
        <w:rPr>
          <w:rFonts w:hint="eastAsia" w:asciiTheme="minorEastAsia" w:hAnsiTheme="minorEastAsia" w:eastAsiaTheme="minorEastAsia" w:cstheme="minorEastAsia"/>
          <w:iCs/>
          <w:snapToGrid w:val="0"/>
          <w:color w:val="auto"/>
          <w:kern w:val="0"/>
          <w:szCs w:val="21"/>
          <w:lang w:val="zh-CN"/>
        </w:rPr>
        <w:t>采购代理机构应当在评审结束后2个工作日内将评审报告送采购人确认。</w:t>
      </w:r>
      <w:r>
        <w:rPr>
          <w:rFonts w:ascii="宋体" w:hAnsi="宋体" w:cs="宋体"/>
          <w:color w:val="auto"/>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3  </w:t>
      </w:r>
      <w:r>
        <w:rPr>
          <w:rFonts w:hint="eastAsia" w:asciiTheme="minorEastAsia" w:hAnsiTheme="minorEastAsia" w:eastAsiaTheme="minorEastAsia" w:cstheme="minorEastAsia"/>
          <w:snapToGrid w:val="0"/>
          <w:color w:val="auto"/>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4  </w:t>
      </w:r>
      <w:r>
        <w:rPr>
          <w:rFonts w:hint="eastAsia" w:asciiTheme="minorEastAsia" w:hAnsiTheme="minorEastAsia" w:eastAsiaTheme="minorEastAsia" w:cstheme="minorEastAsia"/>
          <w:iCs/>
          <w:snapToGrid w:val="0"/>
          <w:color w:val="auto"/>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5  </w:t>
      </w:r>
      <w:r>
        <w:rPr>
          <w:rFonts w:hint="eastAsia" w:asciiTheme="minorEastAsia" w:hAnsiTheme="minorEastAsia" w:eastAsiaTheme="minorEastAsia" w:cstheme="minorEastAsia"/>
          <w:iCs/>
          <w:snapToGrid w:val="0"/>
          <w:color w:val="auto"/>
          <w:kern w:val="0"/>
          <w:szCs w:val="21"/>
          <w:lang w:val="zh-CN"/>
        </w:rPr>
        <w:t>成交通知书的领取时间详见《供应商须知前附表》。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90" w:name="_Toc15727"/>
      <w:bookmarkStart w:id="91" w:name="_Toc22996"/>
      <w:r>
        <w:rPr>
          <w:rFonts w:hint="eastAsia" w:asciiTheme="minorEastAsia" w:hAnsiTheme="minorEastAsia" w:eastAsiaTheme="minorEastAsia" w:cstheme="minorEastAsia"/>
          <w:b/>
          <w:color w:val="auto"/>
          <w:lang w:val="zh-CN"/>
        </w:rPr>
        <w:t>签订合同</w:t>
      </w:r>
      <w:bookmarkEnd w:id="90"/>
      <w:bookmarkEnd w:id="91"/>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29.1 </w:t>
      </w: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zCs w:val="21"/>
          <w:lang w:val="zh-CN"/>
        </w:rPr>
        <w:t xml:space="preserve">29.2 </w:t>
      </w:r>
      <w:r>
        <w:rPr>
          <w:rFonts w:hint="eastAsia" w:asciiTheme="minorEastAsia" w:hAnsiTheme="minorEastAsia" w:eastAsiaTheme="minorEastAsia" w:cstheme="minorEastAsia"/>
          <w:snapToGrid w:val="0"/>
          <w:color w:val="auto"/>
          <w:szCs w:val="21"/>
        </w:rPr>
        <w:t xml:space="preserve"> </w:t>
      </w:r>
      <w:r>
        <w:rPr>
          <w:rFonts w:hint="eastAsia" w:asciiTheme="minorEastAsia" w:hAnsiTheme="minorEastAsia" w:eastAsiaTheme="minorEastAsia" w:cstheme="minorEastAsia"/>
          <w:snapToGrid w:val="0"/>
          <w:color w:val="auto"/>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29.3  </w:t>
      </w:r>
      <w:r>
        <w:rPr>
          <w:rFonts w:hint="eastAsia" w:asciiTheme="minorEastAsia" w:hAnsiTheme="minorEastAsia" w:eastAsiaTheme="minorEastAsia" w:cstheme="minorEastAsia"/>
          <w:color w:val="auto"/>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29.4  </w:t>
      </w:r>
      <w:r>
        <w:rPr>
          <w:rFonts w:hint="eastAsia" w:asciiTheme="minorEastAsia" w:hAnsiTheme="minorEastAsia" w:eastAsiaTheme="minorEastAsia" w:cstheme="minorEastAsia"/>
          <w:snapToGrid w:val="0"/>
          <w:color w:val="auto"/>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29.5 </w:t>
      </w: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szCs w:val="21"/>
          <w:lang w:val="zh-CN"/>
        </w:rPr>
        <w:t xml:space="preserve">29.6 </w:t>
      </w:r>
      <w:r>
        <w:rPr>
          <w:rFonts w:hint="eastAsia" w:asciiTheme="minorEastAsia" w:hAnsiTheme="minorEastAsia" w:eastAsiaTheme="minorEastAsia" w:cstheme="minorEastAsia"/>
          <w:snapToGrid w:val="0"/>
          <w:color w:val="auto"/>
          <w:szCs w:val="21"/>
        </w:rPr>
        <w:t xml:space="preserve"> </w:t>
      </w:r>
      <w:r>
        <w:rPr>
          <w:rFonts w:hint="eastAsia" w:asciiTheme="minorEastAsia" w:hAnsiTheme="minorEastAsia" w:eastAsiaTheme="minorEastAsia" w:cstheme="minorEastAsia"/>
          <w:snapToGrid w:val="0"/>
          <w:color w:val="auto"/>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7"/>
        </w:numPr>
        <w:tabs>
          <w:tab w:val="left" w:pos="540"/>
          <w:tab w:val="clear" w:pos="840"/>
        </w:tabs>
        <w:spacing w:line="360" w:lineRule="auto"/>
        <w:ind w:left="632" w:hanging="632" w:hangingChars="300"/>
        <w:jc w:val="left"/>
        <w:rPr>
          <w:rFonts w:asciiTheme="minorEastAsia" w:hAnsiTheme="minorEastAsia" w:eastAsiaTheme="minorEastAsia" w:cstheme="minorEastAsia"/>
          <w:b/>
          <w:color w:val="auto"/>
          <w:szCs w:val="21"/>
          <w:lang w:val="zh-CN"/>
        </w:rPr>
      </w:pPr>
      <w:bookmarkStart w:id="92" w:name="_Toc13988"/>
      <w:bookmarkStart w:id="93" w:name="_Toc14510"/>
      <w:bookmarkStart w:id="94" w:name="_Toc4883"/>
      <w:r>
        <w:rPr>
          <w:rFonts w:hint="eastAsia" w:asciiTheme="minorEastAsia" w:hAnsiTheme="minorEastAsia" w:eastAsiaTheme="minorEastAsia" w:cstheme="minorEastAsia"/>
          <w:b/>
          <w:color w:val="auto"/>
          <w:szCs w:val="21"/>
          <w:lang w:val="zh-CN"/>
        </w:rPr>
        <w:t>质疑和投诉</w:t>
      </w:r>
      <w:bookmarkEnd w:id="92"/>
      <w:bookmarkEnd w:id="93"/>
      <w:bookmarkEnd w:id="94"/>
    </w:p>
    <w:p>
      <w:pPr>
        <w:numPr>
          <w:ilvl w:val="0"/>
          <w:numId w:val="8"/>
        </w:numPr>
        <w:tabs>
          <w:tab w:val="left" w:pos="864"/>
          <w:tab w:val="left" w:pos="1080"/>
        </w:tabs>
        <w:spacing w:line="360" w:lineRule="auto"/>
        <w:ind w:left="632" w:hanging="632" w:hangingChars="300"/>
        <w:jc w:val="left"/>
        <w:rPr>
          <w:rFonts w:asciiTheme="minorEastAsia" w:hAnsiTheme="minorEastAsia" w:eastAsiaTheme="minorEastAsia" w:cstheme="minorEastAsia"/>
          <w:b/>
          <w:color w:val="auto"/>
          <w:lang w:val="zh-CN"/>
        </w:rPr>
      </w:pPr>
      <w:r>
        <w:rPr>
          <w:rFonts w:hint="eastAsia" w:asciiTheme="minorEastAsia" w:hAnsiTheme="minorEastAsia" w:eastAsiaTheme="minorEastAsia" w:cstheme="minorEastAsia"/>
          <w:b/>
          <w:color w:val="auto"/>
          <w:lang w:val="zh-CN"/>
        </w:rPr>
        <w:t>质疑</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0</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0</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（4）</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（5）</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（6）</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（7）</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质疑书不符合上述要求的，采购人或代理机构应书面告知具体事项，质疑人应当按要求进行修改或补充，并在质疑有效期限内提交。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95" w:name="_Toc2069"/>
      <w:bookmarkStart w:id="96" w:name="_Toc20387"/>
      <w:r>
        <w:rPr>
          <w:rFonts w:hint="eastAsia" w:asciiTheme="minorEastAsia" w:hAnsiTheme="minorEastAsia" w:eastAsiaTheme="minorEastAsia" w:cstheme="minorEastAsia"/>
          <w:b/>
          <w:color w:val="auto"/>
          <w:lang w:val="zh-CN"/>
        </w:rPr>
        <w:t>质疑回复</w:t>
      </w:r>
      <w:bookmarkEnd w:id="95"/>
      <w:bookmarkEnd w:id="96"/>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1</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1</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质疑答复应当包括下列内容：</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（6）质疑答复日期。</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97" w:name="_Toc28215"/>
      <w:bookmarkStart w:id="98" w:name="_Toc459"/>
      <w:r>
        <w:rPr>
          <w:rFonts w:hint="eastAsia" w:asciiTheme="minorEastAsia" w:hAnsiTheme="minorEastAsia" w:eastAsiaTheme="minorEastAsia" w:cstheme="minorEastAsia"/>
          <w:b/>
          <w:color w:val="auto"/>
          <w:lang w:val="zh-CN"/>
        </w:rPr>
        <w:t>投诉</w:t>
      </w:r>
      <w:bookmarkEnd w:id="97"/>
      <w:bookmarkEnd w:id="98"/>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2</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2</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99" w:name="_Toc5571"/>
      <w:bookmarkStart w:id="100" w:name="_Toc13007"/>
      <w:bookmarkStart w:id="101" w:name="_Toc28705"/>
      <w:bookmarkStart w:id="102" w:name="_Toc14767"/>
      <w:bookmarkStart w:id="103" w:name="_Toc30010"/>
      <w:r>
        <w:rPr>
          <w:rFonts w:hint="eastAsia" w:asciiTheme="minorEastAsia" w:hAnsiTheme="minorEastAsia" w:eastAsiaTheme="minorEastAsia" w:cstheme="minorEastAsia"/>
          <w:b/>
          <w:color w:val="auto"/>
          <w:szCs w:val="21"/>
          <w:lang w:val="zh-CN"/>
        </w:rPr>
        <w:t>政策</w:t>
      </w:r>
      <w:bookmarkEnd w:id="99"/>
      <w:bookmarkEnd w:id="100"/>
      <w:bookmarkEnd w:id="101"/>
      <w:bookmarkEnd w:id="102"/>
      <w:bookmarkEnd w:id="103"/>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104" w:name="_Toc25346"/>
      <w:bookmarkStart w:id="105" w:name="_Toc28842"/>
      <w:r>
        <w:rPr>
          <w:rFonts w:hint="eastAsia" w:asciiTheme="minorEastAsia" w:hAnsiTheme="minorEastAsia" w:eastAsiaTheme="minorEastAsia" w:cstheme="minorEastAsia"/>
          <w:b/>
          <w:color w:val="auto"/>
        </w:rPr>
        <w:t>政府采购政策</w:t>
      </w:r>
      <w:bookmarkEnd w:id="104"/>
      <w:bookmarkEnd w:id="105"/>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spacing w:val="-2"/>
          <w:kern w:val="0"/>
          <w:szCs w:val="21"/>
          <w:lang w:val="zh-CN"/>
        </w:rPr>
        <w:t>除非“供应商须知前附表”中有特殊规定，本项目所采购的货物</w:t>
      </w:r>
      <w:r>
        <w:rPr>
          <w:rFonts w:hint="eastAsia" w:ascii="宋体" w:hAnsi="宋体" w:cs="宋体"/>
          <w:snapToGrid w:val="0"/>
          <w:color w:val="auto"/>
          <w:spacing w:val="-2"/>
          <w:kern w:val="0"/>
          <w:szCs w:val="21"/>
        </w:rPr>
        <w:t>或服务或工程</w:t>
      </w:r>
      <w:r>
        <w:rPr>
          <w:rFonts w:hint="eastAsia" w:ascii="宋体" w:hAnsi="宋体" w:cs="宋体"/>
          <w:snapToGrid w:val="0"/>
          <w:color w:val="auto"/>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为促进中小企业发展，本项目供应商如符合工信部联企业【</w:t>
      </w:r>
      <w:r>
        <w:rPr>
          <w:rFonts w:hint="eastAsia" w:ascii="宋体" w:hAnsi="宋体" w:cs="宋体"/>
          <w:snapToGrid w:val="0"/>
          <w:color w:val="auto"/>
          <w:kern w:val="0"/>
          <w:szCs w:val="21"/>
        </w:rPr>
        <w:t>2011</w:t>
      </w:r>
      <w:r>
        <w:rPr>
          <w:rFonts w:hint="eastAsia" w:ascii="宋体" w:hAnsi="宋体" w:cs="宋体"/>
          <w:snapToGrid w:val="0"/>
          <w:color w:val="auto"/>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w:t>
      </w:r>
      <w:r>
        <w:rPr>
          <w:rFonts w:hint="eastAsia" w:ascii="宋体" w:hAnsi="宋体" w:cs="宋体"/>
          <w:snapToGrid w:val="0"/>
          <w:color w:val="auto"/>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33.</w:t>
      </w:r>
      <w:r>
        <w:rPr>
          <w:rFonts w:hint="eastAsia" w:ascii="宋体" w:hAnsi="宋体" w:cs="宋体"/>
          <w:snapToGrid w:val="0"/>
          <w:color w:val="auto"/>
          <w:kern w:val="0"/>
          <w:szCs w:val="21"/>
        </w:rPr>
        <w:t xml:space="preserve">6  </w:t>
      </w:r>
      <w:r>
        <w:rPr>
          <w:rFonts w:hint="eastAsia" w:ascii="宋体" w:hAnsi="宋体" w:cs="宋体"/>
          <w:snapToGrid w:val="0"/>
          <w:color w:val="auto"/>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color w:val="auto"/>
          <w:lang w:val="zh-CN"/>
        </w:rPr>
      </w:pPr>
      <w:r>
        <w:rPr>
          <w:rFonts w:hint="eastAsia" w:ascii="宋体" w:hAnsi="宋体" w:cs="宋体"/>
          <w:b/>
          <w:bCs/>
          <w:snapToGrid w:val="0"/>
          <w:color w:val="auto"/>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106" w:name="_Toc25296"/>
      <w:bookmarkStart w:id="107" w:name="_Toc28581"/>
      <w:r>
        <w:rPr>
          <w:rFonts w:hint="eastAsia" w:asciiTheme="minorEastAsia" w:hAnsiTheme="minorEastAsia" w:eastAsiaTheme="minorEastAsia" w:cstheme="minorEastAsia"/>
          <w:b/>
          <w:color w:val="auto"/>
          <w:szCs w:val="21"/>
          <w:lang w:val="zh-CN"/>
        </w:rPr>
        <w:t>其他要求</w:t>
      </w:r>
      <w:bookmarkEnd w:id="106"/>
      <w:bookmarkEnd w:id="107"/>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见《供应商须知前附表》。</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108" w:name="_Toc27769"/>
      <w:bookmarkStart w:id="109" w:name="_Toc28137"/>
      <w:r>
        <w:rPr>
          <w:rFonts w:hint="eastAsia" w:asciiTheme="minorEastAsia" w:hAnsiTheme="minorEastAsia" w:eastAsiaTheme="minorEastAsia" w:cstheme="minorEastAsia"/>
          <w:b/>
          <w:color w:val="auto"/>
          <w:szCs w:val="21"/>
          <w:lang w:val="zh-CN"/>
        </w:rPr>
        <w:t>适用法律</w:t>
      </w:r>
      <w:bookmarkEnd w:id="108"/>
      <w:bookmarkEnd w:id="109"/>
    </w:p>
    <w:p>
      <w:pPr>
        <w:autoSpaceDE w:val="0"/>
        <w:autoSpaceDN w:val="0"/>
        <w:adjustRightInd w:val="0"/>
        <w:spacing w:line="360" w:lineRule="auto"/>
        <w:ind w:left="630" w:left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color w:val="auto"/>
          <w:kern w:val="0"/>
          <w:szCs w:val="21"/>
          <w:lang w:val="zh-CN"/>
        </w:rPr>
        <w:br w:type="textWrapping"/>
      </w:r>
      <w:r>
        <w:rPr>
          <w:rFonts w:hint="eastAsia" w:asciiTheme="minorEastAsia" w:hAnsiTheme="minorEastAsia" w:eastAsiaTheme="minorEastAsia" w:cstheme="minorEastAsia"/>
          <w:b/>
          <w:bCs/>
          <w:snapToGrid w:val="0"/>
          <w:color w:val="auto"/>
          <w:kern w:val="0"/>
          <w:szCs w:val="21"/>
          <w:lang w:val="zh-CN"/>
        </w:rPr>
        <w:t>补充说明：</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 12 月 1 日至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11 月 30 日。</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color w:val="auto"/>
          <w:kern w:val="0"/>
          <w:szCs w:val="21"/>
        </w:rPr>
        <w:t>则</w:t>
      </w:r>
      <w:r>
        <w:rPr>
          <w:rFonts w:hint="eastAsia" w:asciiTheme="minorEastAsia" w:hAnsiTheme="minorEastAsia" w:eastAsiaTheme="minorEastAsia" w:cstheme="minorEastAsia"/>
          <w:snapToGrid w:val="0"/>
          <w:color w:val="auto"/>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6 月 9 日，则“近三年”</w:t>
      </w:r>
      <w:r>
        <w:rPr>
          <w:rFonts w:hint="eastAsia" w:asciiTheme="minorEastAsia" w:hAnsiTheme="minorEastAsia" w:eastAsiaTheme="minorEastAsia" w:cstheme="minorEastAsia"/>
          <w:snapToGrid w:val="0"/>
          <w:color w:val="auto"/>
          <w:kern w:val="0"/>
          <w:szCs w:val="21"/>
        </w:rPr>
        <w:t>是</w:t>
      </w:r>
      <w:r>
        <w:rPr>
          <w:rFonts w:hint="eastAsia" w:asciiTheme="minorEastAsia" w:hAnsiTheme="minorEastAsia" w:eastAsiaTheme="minorEastAsia" w:cstheme="minorEastAsia"/>
          <w:snapToGrid w:val="0"/>
          <w:color w:val="auto"/>
          <w:kern w:val="0"/>
          <w:szCs w:val="21"/>
          <w:lang w:val="zh-CN"/>
        </w:rPr>
        <w:t>指 201</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7</w:t>
      </w:r>
      <w:r>
        <w:rPr>
          <w:rFonts w:hint="eastAsia" w:asciiTheme="minorEastAsia" w:hAnsiTheme="minorEastAsia" w:eastAsiaTheme="minorEastAsia" w:cstheme="minorEastAsia"/>
          <w:snapToGrid w:val="0"/>
          <w:color w:val="auto"/>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7</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8</w:t>
      </w:r>
      <w:r>
        <w:rPr>
          <w:rFonts w:hint="eastAsia" w:asciiTheme="minorEastAsia" w:hAnsiTheme="minorEastAsia" w:eastAsiaTheme="minorEastAsia" w:cstheme="minorEastAsia"/>
          <w:snapToGrid w:val="0"/>
          <w:color w:val="auto"/>
          <w:kern w:val="0"/>
          <w:szCs w:val="21"/>
          <w:lang w:val="zh-CN"/>
        </w:rPr>
        <w:t>年度。</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本采购文件所称的“以上”、“以下”、“内”、“以内”，均包括本数；所称的“不足”，不包括本数。</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成立时间不足应提交财务报告年份要求的，按成立时间起算。</w:t>
      </w:r>
      <w:r>
        <w:rPr>
          <w:rFonts w:hint="eastAsia" w:asciiTheme="minorEastAsia" w:hAnsiTheme="minorEastAsia" w:eastAsiaTheme="minorEastAsia" w:cstheme="minorEastAsia"/>
          <w:snapToGrid w:val="0"/>
          <w:color w:val="auto"/>
          <w:kern w:val="0"/>
          <w:szCs w:val="21"/>
          <w:lang w:val="zh-CN"/>
        </w:rPr>
        <w:br w:type="textWrapping"/>
      </w:r>
      <w:r>
        <w:rPr>
          <w:rFonts w:hint="eastAsia" w:asciiTheme="minorEastAsia" w:hAnsiTheme="minorEastAsia" w:eastAsiaTheme="minorEastAsia" w:cstheme="minorEastAsia"/>
          <w:snapToGrid w:val="0"/>
          <w:color w:val="auto"/>
          <w:kern w:val="0"/>
          <w:szCs w:val="21"/>
          <w:lang w:val="zh-CN"/>
        </w:rPr>
        <w:br w:type="textWrapping"/>
      </w:r>
      <w:r>
        <w:rPr>
          <w:rFonts w:hint="eastAsia" w:asciiTheme="minorEastAsia" w:hAnsiTheme="minorEastAsia" w:eastAsiaTheme="minorEastAsia" w:cstheme="minorEastAsia"/>
          <w:snapToGrid w:val="0"/>
          <w:color w:val="auto"/>
          <w:kern w:val="0"/>
          <w:szCs w:val="21"/>
          <w:lang w:val="zh-CN"/>
        </w:rPr>
        <w:br w:type="textWrapping"/>
      </w:r>
    </w:p>
    <w:p>
      <w:pPr>
        <w:numPr>
          <w:ilvl w:val="0"/>
          <w:numId w:val="4"/>
        </w:numPr>
        <w:jc w:val="center"/>
        <w:outlineLvl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br w:type="page"/>
      </w:r>
      <w:bookmarkStart w:id="110" w:name="_Toc24183"/>
      <w:r>
        <w:rPr>
          <w:rFonts w:hint="eastAsia" w:asciiTheme="minorEastAsia" w:hAnsiTheme="minorEastAsia" w:eastAsiaTheme="minorEastAsia" w:cstheme="minorEastAsia"/>
          <w:b/>
          <w:bCs/>
          <w:color w:val="auto"/>
          <w:sz w:val="36"/>
          <w:szCs w:val="36"/>
        </w:rPr>
        <w:t>采购需求</w:t>
      </w:r>
      <w:bookmarkEnd w:id="110"/>
    </w:p>
    <w:p>
      <w:pPr>
        <w:autoSpaceDE w:val="0"/>
        <w:autoSpaceDN w:val="0"/>
        <w:adjustRightInd w:val="0"/>
        <w:spacing w:line="360" w:lineRule="auto"/>
        <w:outlineLvl w:val="1"/>
        <w:rPr>
          <w:rFonts w:asciiTheme="minorEastAsia" w:hAnsiTheme="minorEastAsia" w:eastAsiaTheme="minorEastAsia" w:cstheme="minorEastAsia"/>
          <w:b/>
          <w:bCs/>
          <w:color w:val="auto"/>
          <w:sz w:val="24"/>
        </w:rPr>
      </w:pPr>
      <w:bookmarkStart w:id="111" w:name="_Toc7419"/>
      <w:r>
        <w:rPr>
          <w:rFonts w:hint="eastAsia" w:asciiTheme="minorEastAsia" w:hAnsiTheme="minorEastAsia" w:eastAsiaTheme="minorEastAsia" w:cstheme="minorEastAsia"/>
          <w:b/>
          <w:bCs/>
          <w:color w:val="auto"/>
          <w:sz w:val="24"/>
        </w:rPr>
        <w:t>一、技术需求</w:t>
      </w:r>
      <w:bookmarkEnd w:id="111"/>
    </w:p>
    <w:p>
      <w:pPr>
        <w:spacing w:line="360" w:lineRule="auto"/>
        <w:ind w:firstLine="420" w:firstLineChars="200"/>
        <w:rPr>
          <w:rFonts w:ascii="宋体" w:hAnsi="宋体" w:cs="宋体"/>
          <w:color w:val="auto"/>
          <w:kern w:val="0"/>
          <w:sz w:val="21"/>
          <w:szCs w:val="21"/>
        </w:rPr>
      </w:pPr>
      <w:r>
        <w:rPr>
          <w:rFonts w:ascii="宋体" w:hAnsi="宋体" w:cs="宋体"/>
          <w:snapToGrid/>
          <w:color w:val="auto"/>
          <w:kern w:val="0"/>
          <w:sz w:val="21"/>
          <w:szCs w:val="21"/>
        </w:rPr>
        <w:t>1.项目概况：</w:t>
      </w:r>
      <w:r>
        <w:rPr>
          <w:rFonts w:hint="eastAsia" w:ascii="宋体" w:hAnsi="宋体" w:cs="宋体"/>
          <w:color w:val="auto"/>
          <w:kern w:val="0"/>
          <w:sz w:val="21"/>
          <w:szCs w:val="21"/>
        </w:rPr>
        <w:t>我校教</w:t>
      </w:r>
      <w:r>
        <w:rPr>
          <w:rFonts w:ascii="宋体" w:hAnsi="宋体" w:cs="宋体"/>
          <w:color w:val="auto"/>
          <w:kern w:val="0"/>
          <w:sz w:val="21"/>
          <w:szCs w:val="21"/>
        </w:rPr>
        <w:t>7楼建设完成的60</w:t>
      </w:r>
      <w:r>
        <w:rPr>
          <w:rFonts w:hint="eastAsia" w:ascii="宋体" w:hAnsi="宋体" w:cs="宋体"/>
          <w:color w:val="auto"/>
          <w:kern w:val="0"/>
          <w:sz w:val="21"/>
          <w:szCs w:val="21"/>
        </w:rPr>
        <w:t>间标准化考场已实现与各级考的指挥中心互联互通，并在各类考试中充分发挥了作用。随着我校承接考试人数逐年增加，现有教室已经不能满足各项考试保障工作，本次将对工</w:t>
      </w:r>
      <w:r>
        <w:rPr>
          <w:rFonts w:ascii="宋体" w:hAnsi="宋体" w:cs="宋体"/>
          <w:color w:val="auto"/>
          <w:kern w:val="0"/>
          <w:sz w:val="21"/>
          <w:szCs w:val="21"/>
        </w:rPr>
        <w:t>2教学楼共6层楼55</w:t>
      </w:r>
      <w:r>
        <w:rPr>
          <w:rFonts w:hint="eastAsia" w:ascii="宋体" w:hAnsi="宋体" w:cs="宋体"/>
          <w:color w:val="auto"/>
          <w:kern w:val="0"/>
          <w:sz w:val="21"/>
          <w:szCs w:val="21"/>
        </w:rPr>
        <w:t>间教室，其中有</w:t>
      </w:r>
      <w:r>
        <w:rPr>
          <w:rFonts w:ascii="宋体" w:hAnsi="宋体" w:cs="宋体"/>
          <w:color w:val="auto"/>
          <w:kern w:val="0"/>
          <w:sz w:val="21"/>
          <w:szCs w:val="21"/>
        </w:rPr>
        <w:t>43</w:t>
      </w:r>
      <w:r>
        <w:rPr>
          <w:rFonts w:hint="eastAsia" w:ascii="宋体" w:hAnsi="宋体" w:cs="宋体"/>
          <w:color w:val="auto"/>
          <w:kern w:val="0"/>
          <w:sz w:val="21"/>
          <w:szCs w:val="21"/>
        </w:rPr>
        <w:t>间普通教室，</w:t>
      </w:r>
      <w:r>
        <w:rPr>
          <w:rFonts w:ascii="宋体" w:hAnsi="宋体" w:cs="宋体"/>
          <w:color w:val="auto"/>
          <w:kern w:val="0"/>
          <w:sz w:val="21"/>
          <w:szCs w:val="21"/>
        </w:rPr>
        <w:t>12</w:t>
      </w:r>
      <w:r>
        <w:rPr>
          <w:rFonts w:hint="eastAsia" w:ascii="宋体" w:hAnsi="宋体" w:cs="宋体"/>
          <w:color w:val="auto"/>
          <w:kern w:val="0"/>
          <w:sz w:val="21"/>
          <w:szCs w:val="21"/>
        </w:rPr>
        <w:t>间大教室，对标《湖北省国家教育考试标准化考点建设指南》</w:t>
      </w:r>
      <w:r>
        <w:rPr>
          <w:rFonts w:ascii="宋体" w:hAnsi="宋体" w:cs="宋体"/>
          <w:color w:val="auto"/>
          <w:kern w:val="0"/>
          <w:sz w:val="21"/>
          <w:szCs w:val="21"/>
        </w:rPr>
        <w:t>(2019版)的相关要求进行建设网上巡查管理系统和作弊防控系统。网上巡查管理系统设备技术要求符合《国家教育考试网上巡查系统视频标准技术规范（2017版）》标准要求，</w:t>
      </w:r>
      <w:r>
        <w:rPr>
          <w:rFonts w:hint="eastAsia" w:ascii="宋体" w:hAnsi="宋体" w:cs="宋体"/>
          <w:color w:val="auto"/>
          <w:kern w:val="0"/>
          <w:sz w:val="21"/>
          <w:szCs w:val="21"/>
          <w:lang w:val="en-US" w:eastAsia="zh-CN"/>
        </w:rPr>
        <w:t>实现工程2号楼网上巡查系统</w:t>
      </w:r>
      <w:r>
        <w:rPr>
          <w:rFonts w:ascii="宋体" w:hAnsi="宋体" w:cs="宋体"/>
          <w:color w:val="auto"/>
          <w:kern w:val="0"/>
          <w:sz w:val="21"/>
          <w:szCs w:val="21"/>
        </w:rPr>
        <w:t>与湖北省和教育部考试中心网上巡查系统平台互联互通，同时</w:t>
      </w:r>
      <w:r>
        <w:rPr>
          <w:rFonts w:hint="eastAsia" w:ascii="宋体" w:hAnsi="宋体" w:cs="宋体"/>
          <w:color w:val="auto"/>
          <w:kern w:val="0"/>
          <w:sz w:val="21"/>
          <w:szCs w:val="21"/>
          <w:lang w:val="en-US" w:eastAsia="zh-CN"/>
        </w:rPr>
        <w:t>需解决</w:t>
      </w:r>
      <w:r>
        <w:rPr>
          <w:rFonts w:hint="eastAsia" w:ascii="宋体" w:hAnsi="宋体" w:cs="宋体"/>
          <w:color w:val="auto"/>
          <w:kern w:val="0"/>
          <w:sz w:val="21"/>
          <w:szCs w:val="21"/>
        </w:rPr>
        <w:t>教</w:t>
      </w:r>
      <w:r>
        <w:rPr>
          <w:rFonts w:ascii="宋体" w:hAnsi="宋体" w:cs="宋体"/>
          <w:color w:val="auto"/>
          <w:kern w:val="0"/>
          <w:sz w:val="21"/>
          <w:szCs w:val="21"/>
        </w:rPr>
        <w:t>2</w:t>
      </w:r>
      <w:r>
        <w:rPr>
          <w:rFonts w:hint="eastAsia" w:ascii="宋体" w:hAnsi="宋体" w:cs="宋体"/>
          <w:color w:val="auto"/>
          <w:kern w:val="0"/>
          <w:sz w:val="21"/>
          <w:szCs w:val="21"/>
          <w:lang w:eastAsia="zh-CN"/>
        </w:rPr>
        <w:t>、</w:t>
      </w:r>
      <w:r>
        <w:rPr>
          <w:rFonts w:ascii="宋体" w:hAnsi="宋体" w:cs="宋体"/>
          <w:color w:val="auto"/>
          <w:kern w:val="0"/>
          <w:sz w:val="21"/>
          <w:szCs w:val="21"/>
        </w:rPr>
        <w:t>教3已建设一期107</w:t>
      </w:r>
      <w:r>
        <w:rPr>
          <w:rFonts w:hint="eastAsia" w:ascii="宋体" w:hAnsi="宋体" w:cs="宋体"/>
          <w:color w:val="auto"/>
          <w:kern w:val="0"/>
          <w:sz w:val="21"/>
          <w:szCs w:val="21"/>
        </w:rPr>
        <w:t>间</w:t>
      </w:r>
      <w:r>
        <w:rPr>
          <w:rFonts w:ascii="宋体" w:hAnsi="宋体" w:cs="宋体"/>
          <w:color w:val="auto"/>
          <w:kern w:val="0"/>
          <w:sz w:val="21"/>
          <w:szCs w:val="21"/>
        </w:rPr>
        <w:t>标准化考场网上巡查系统与湖北省和教育部考试中心网上巡查系统平台互联互通，最终形成统一的国家教育考试标准化考场系统，以互联互通成功为项目验收合格依据。</w:t>
      </w:r>
    </w:p>
    <w:p>
      <w:pPr>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学校现有一体化教学应用云平台系统，教学巡视模块在日常教学巡视工作中使用十分便利，结合本次标准化考场网上巡查管理系统的建设，</w:t>
      </w:r>
      <w:r>
        <w:rPr>
          <w:rFonts w:hint="eastAsia" w:ascii="宋体" w:hAnsi="宋体" w:cs="宋体"/>
          <w:color w:val="auto"/>
          <w:kern w:val="0"/>
          <w:sz w:val="21"/>
          <w:szCs w:val="21"/>
          <w:lang w:val="en-US" w:eastAsia="zh-CN"/>
        </w:rPr>
        <w:t>将本项目建设的标准化考场以及</w:t>
      </w:r>
      <w:r>
        <w:rPr>
          <w:rFonts w:hint="eastAsia" w:ascii="宋体" w:hAnsi="宋体" w:cs="宋体"/>
          <w:color w:val="auto"/>
          <w:kern w:val="0"/>
          <w:sz w:val="21"/>
          <w:szCs w:val="21"/>
        </w:rPr>
        <w:t>教</w:t>
      </w:r>
      <w:r>
        <w:rPr>
          <w:rFonts w:ascii="宋体" w:hAnsi="宋体" w:cs="宋体"/>
          <w:color w:val="auto"/>
          <w:kern w:val="0"/>
          <w:sz w:val="21"/>
          <w:szCs w:val="21"/>
        </w:rPr>
        <w:t>2</w:t>
      </w:r>
      <w:r>
        <w:rPr>
          <w:rFonts w:hint="eastAsia" w:ascii="宋体" w:hAnsi="宋体" w:cs="宋体"/>
          <w:color w:val="auto"/>
          <w:kern w:val="0"/>
          <w:sz w:val="21"/>
          <w:szCs w:val="21"/>
          <w:lang w:eastAsia="zh-CN"/>
        </w:rPr>
        <w:t>、</w:t>
      </w:r>
      <w:r>
        <w:rPr>
          <w:rFonts w:ascii="宋体" w:hAnsi="宋体" w:cs="宋体"/>
          <w:color w:val="auto"/>
          <w:kern w:val="0"/>
          <w:sz w:val="21"/>
          <w:szCs w:val="21"/>
        </w:rPr>
        <w:t>教3已建设</w:t>
      </w:r>
      <w:r>
        <w:rPr>
          <w:rFonts w:hint="eastAsia" w:ascii="宋体" w:hAnsi="宋体" w:cs="宋体"/>
          <w:color w:val="auto"/>
          <w:kern w:val="0"/>
          <w:sz w:val="21"/>
          <w:szCs w:val="21"/>
          <w:lang w:val="en-US" w:eastAsia="zh-CN"/>
        </w:rPr>
        <w:t>的</w:t>
      </w:r>
      <w:r>
        <w:rPr>
          <w:rFonts w:ascii="宋体" w:hAnsi="宋体" w:cs="宋体"/>
          <w:color w:val="auto"/>
          <w:kern w:val="0"/>
          <w:sz w:val="21"/>
          <w:szCs w:val="21"/>
        </w:rPr>
        <w:t>一期107</w:t>
      </w:r>
      <w:r>
        <w:rPr>
          <w:rFonts w:hint="eastAsia" w:ascii="宋体" w:hAnsi="宋体" w:cs="宋体"/>
          <w:color w:val="auto"/>
          <w:kern w:val="0"/>
          <w:sz w:val="21"/>
          <w:szCs w:val="21"/>
        </w:rPr>
        <w:t>间</w:t>
      </w:r>
      <w:r>
        <w:rPr>
          <w:rFonts w:ascii="宋体" w:hAnsi="宋体" w:cs="宋体"/>
          <w:color w:val="auto"/>
          <w:kern w:val="0"/>
          <w:sz w:val="21"/>
          <w:szCs w:val="21"/>
        </w:rPr>
        <w:t>标准化考场</w:t>
      </w:r>
      <w:r>
        <w:rPr>
          <w:rFonts w:hint="eastAsia" w:ascii="宋体" w:hAnsi="宋体" w:cs="宋体"/>
          <w:color w:val="auto"/>
          <w:kern w:val="0"/>
          <w:sz w:val="21"/>
          <w:szCs w:val="21"/>
          <w:lang w:val="en-US" w:eastAsia="zh-CN"/>
        </w:rPr>
        <w:t>内</w:t>
      </w:r>
      <w:r>
        <w:rPr>
          <w:rFonts w:hint="eastAsia" w:ascii="宋体" w:hAnsi="宋体" w:cs="宋体"/>
          <w:color w:val="auto"/>
          <w:kern w:val="0"/>
          <w:sz w:val="21"/>
          <w:szCs w:val="21"/>
        </w:rPr>
        <w:t>摄像机设备的视音频信号，统一接入现有</w:t>
      </w:r>
      <w:r>
        <w:rPr>
          <w:rFonts w:hint="eastAsia" w:ascii="宋体" w:hAnsi="宋体" w:cs="宋体"/>
          <w:color w:val="auto"/>
          <w:kern w:val="0"/>
          <w:sz w:val="21"/>
          <w:szCs w:val="21"/>
          <w:lang w:val="en-US" w:eastAsia="zh-CN"/>
        </w:rPr>
        <w:t>一体化</w:t>
      </w:r>
      <w:r>
        <w:rPr>
          <w:rFonts w:hint="eastAsia" w:ascii="宋体" w:hAnsi="宋体" w:cs="宋体"/>
          <w:color w:val="auto"/>
          <w:kern w:val="0"/>
          <w:sz w:val="21"/>
          <w:szCs w:val="21"/>
        </w:rPr>
        <w:t>教学应用</w:t>
      </w:r>
      <w:r>
        <w:rPr>
          <w:rFonts w:hint="eastAsia" w:ascii="宋体" w:hAnsi="宋体" w:cs="宋体"/>
          <w:color w:val="auto"/>
          <w:kern w:val="0"/>
          <w:sz w:val="21"/>
          <w:szCs w:val="21"/>
          <w:lang w:val="en-US" w:eastAsia="zh-CN"/>
        </w:rPr>
        <w:t>云</w:t>
      </w:r>
      <w:r>
        <w:rPr>
          <w:rFonts w:hint="eastAsia" w:ascii="宋体" w:hAnsi="宋体" w:cs="宋体"/>
          <w:color w:val="auto"/>
          <w:kern w:val="0"/>
          <w:sz w:val="21"/>
          <w:szCs w:val="21"/>
        </w:rPr>
        <w:t>平台中，实现教学巡视、教学督导等功能。</w:t>
      </w:r>
    </w:p>
    <w:p>
      <w:pPr>
        <w:spacing w:line="360" w:lineRule="auto"/>
        <w:ind w:firstLine="420" w:firstLineChars="200"/>
        <w:rPr>
          <w:rFonts w:hint="eastAsia" w:ascii="宋体" w:hAnsi="宋体" w:cs="宋体"/>
          <w:color w:val="auto"/>
          <w:kern w:val="0"/>
          <w:sz w:val="21"/>
          <w:szCs w:val="21"/>
        </w:rPr>
      </w:pPr>
      <w:r>
        <w:rPr>
          <w:rFonts w:hint="eastAsia" w:ascii="宋体" w:hAnsi="宋体" w:cs="宋体"/>
          <w:color w:val="auto"/>
          <w:kern w:val="0"/>
          <w:sz w:val="21"/>
          <w:szCs w:val="21"/>
        </w:rPr>
        <w:t>另外本项目建设中还包含教</w:t>
      </w:r>
      <w:r>
        <w:rPr>
          <w:rFonts w:ascii="宋体" w:hAnsi="宋体" w:cs="宋体"/>
          <w:color w:val="auto"/>
          <w:kern w:val="0"/>
          <w:sz w:val="21"/>
          <w:szCs w:val="21"/>
        </w:rPr>
        <w:t>7楼</w:t>
      </w:r>
      <w:r>
        <w:rPr>
          <w:rFonts w:hint="eastAsia" w:ascii="宋体" w:hAnsi="宋体" w:cs="宋体"/>
          <w:color w:val="auto"/>
          <w:kern w:val="0"/>
          <w:sz w:val="21"/>
          <w:szCs w:val="21"/>
          <w:lang w:val="en-US" w:eastAsia="zh-CN"/>
        </w:rPr>
        <w:t>60间</w:t>
      </w:r>
      <w:r>
        <w:rPr>
          <w:rFonts w:ascii="宋体" w:hAnsi="宋体" w:cs="宋体"/>
          <w:color w:val="auto"/>
          <w:kern w:val="0"/>
          <w:sz w:val="21"/>
          <w:szCs w:val="21"/>
        </w:rPr>
        <w:t>教室手机信号屏蔽终端上墙和</w:t>
      </w:r>
      <w:r>
        <w:rPr>
          <w:rFonts w:hint="eastAsia" w:ascii="宋体" w:hAnsi="宋体" w:cs="宋体"/>
          <w:color w:val="auto"/>
          <w:kern w:val="0"/>
          <w:sz w:val="21"/>
          <w:szCs w:val="21"/>
        </w:rPr>
        <w:t>工程</w:t>
      </w:r>
      <w:r>
        <w:rPr>
          <w:rFonts w:ascii="宋体" w:hAnsi="宋体" w:cs="宋体"/>
          <w:color w:val="auto"/>
          <w:kern w:val="0"/>
          <w:sz w:val="21"/>
          <w:szCs w:val="21"/>
        </w:rPr>
        <w:t>1号</w:t>
      </w:r>
      <w:r>
        <w:rPr>
          <w:rFonts w:hint="eastAsia" w:ascii="宋体" w:hAnsi="宋体" w:cs="宋体"/>
          <w:color w:val="auto"/>
          <w:kern w:val="0"/>
          <w:sz w:val="21"/>
          <w:szCs w:val="21"/>
        </w:rPr>
        <w:t>楼</w:t>
      </w:r>
      <w:r>
        <w:rPr>
          <w:rFonts w:hint="eastAsia" w:ascii="宋体" w:hAnsi="宋体" w:cs="宋体"/>
          <w:color w:val="auto"/>
          <w:kern w:val="0"/>
          <w:sz w:val="21"/>
          <w:szCs w:val="21"/>
          <w:lang w:val="en-US" w:eastAsia="zh-CN"/>
        </w:rPr>
        <w:t>42间教室</w:t>
      </w:r>
      <w:r>
        <w:rPr>
          <w:rFonts w:hint="eastAsia" w:ascii="宋体" w:hAnsi="宋体" w:cs="宋体"/>
          <w:color w:val="auto"/>
          <w:kern w:val="0"/>
          <w:sz w:val="21"/>
          <w:szCs w:val="21"/>
        </w:rPr>
        <w:t>网络时钟安装。标准化考场的建设，满足考试应用场景的同时还能满足校园日常安防监控的应用。本项目为交钥匙工程，建设内容还包含系统设备安装、布线、调试、联调等及售后服务等内容。</w:t>
      </w:r>
    </w:p>
    <w:p>
      <w:pPr>
        <w:spacing w:line="360" w:lineRule="auto"/>
        <w:ind w:firstLine="420" w:firstLineChars="200"/>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本项目需拆除原有</w:t>
      </w:r>
      <w:r>
        <w:rPr>
          <w:rFonts w:hint="eastAsia" w:ascii="宋体" w:hAnsi="宋体" w:eastAsia="宋体" w:cs="宋体"/>
          <w:b w:val="0"/>
          <w:bCs w:val="0"/>
          <w:color w:val="auto"/>
          <w:kern w:val="0"/>
          <w:sz w:val="21"/>
          <w:szCs w:val="21"/>
          <w:lang w:val="en-US" w:eastAsia="zh-CN"/>
        </w:rPr>
        <w:t>工程2号楼</w:t>
      </w:r>
      <w:r>
        <w:rPr>
          <w:rFonts w:hint="eastAsia" w:ascii="宋体" w:hAnsi="宋体" w:eastAsia="宋体" w:cs="宋体"/>
          <w:b w:val="0"/>
          <w:bCs w:val="0"/>
          <w:color w:val="auto"/>
          <w:kern w:val="0"/>
          <w:sz w:val="21"/>
          <w:szCs w:val="21"/>
        </w:rPr>
        <w:t>考场设备与线路，根据设备需要对所有考场进行网线、电源线、信号线等的综合布线设计、施工及安装，并提供具体的设备布局图,安装图和线路施工图</w:t>
      </w:r>
      <w:r>
        <w:rPr>
          <w:rFonts w:hint="eastAsia" w:ascii="宋体" w:hAnsi="宋体" w:eastAsia="宋体" w:cs="宋体"/>
          <w:b w:val="0"/>
          <w:bCs w:val="0"/>
          <w:color w:val="auto"/>
          <w:kern w:val="0"/>
          <w:sz w:val="21"/>
          <w:szCs w:val="21"/>
          <w:lang w:eastAsia="zh-CN"/>
        </w:rPr>
        <w:t>。</w:t>
      </w:r>
    </w:p>
    <w:p>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rPr>
      </w:pPr>
      <w:r>
        <w:rPr>
          <w:rFonts w:hint="eastAsia" w:ascii="宋体" w:hAnsi="宋体" w:cs="宋体"/>
          <w:snapToGrid w:val="0"/>
          <w:color w:val="auto"/>
          <w:kern w:val="0"/>
          <w:sz w:val="21"/>
          <w:szCs w:val="21"/>
          <w:lang w:val="zh-CN"/>
        </w:rPr>
        <w:t>本项目采购内容包含：</w:t>
      </w:r>
      <w:r>
        <w:rPr>
          <w:rFonts w:hint="eastAsia" w:ascii="宋体" w:hAnsi="宋体" w:cs="宋体"/>
          <w:color w:val="auto"/>
          <w:kern w:val="0"/>
          <w:sz w:val="21"/>
          <w:szCs w:val="21"/>
        </w:rPr>
        <w:t>标准化考场半球摄像机及拾音器、存储卡、安装盒、网络硬盘录像机（含硬盘）、网络时钟、16口接入交换机、屏蔽终端、无线信号侦测器（含配件）、作弊防控系统管理平台、手机信号屏蔽终端等。</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2.设备/货物清单</w:t>
      </w:r>
    </w:p>
    <w:tbl>
      <w:tblPr>
        <w:tblStyle w:val="29"/>
        <w:tblW w:w="10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076"/>
        <w:gridCol w:w="4811"/>
        <w:gridCol w:w="767"/>
        <w:gridCol w:w="900"/>
        <w:gridCol w:w="1303"/>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38" w:type="dxa"/>
            <w:vAlign w:val="center"/>
          </w:tcPr>
          <w:p>
            <w:pPr>
              <w:jc w:val="center"/>
              <w:rPr>
                <w:color w:val="auto"/>
                <w:sz w:val="21"/>
                <w:szCs w:val="21"/>
              </w:rPr>
            </w:pPr>
            <w:r>
              <w:rPr>
                <w:rFonts w:hint="eastAsia"/>
                <w:color w:val="auto"/>
                <w:sz w:val="21"/>
                <w:szCs w:val="21"/>
              </w:rPr>
              <w:t>序号</w:t>
            </w:r>
          </w:p>
        </w:tc>
        <w:tc>
          <w:tcPr>
            <w:tcW w:w="1076" w:type="dxa"/>
            <w:vAlign w:val="center"/>
          </w:tcPr>
          <w:p>
            <w:pPr>
              <w:jc w:val="center"/>
              <w:rPr>
                <w:color w:val="auto"/>
                <w:sz w:val="21"/>
                <w:szCs w:val="21"/>
              </w:rPr>
            </w:pPr>
            <w:r>
              <w:rPr>
                <w:rFonts w:hint="eastAsia"/>
                <w:color w:val="auto"/>
                <w:sz w:val="21"/>
                <w:szCs w:val="21"/>
              </w:rPr>
              <w:t>仪器设备名称</w:t>
            </w:r>
          </w:p>
        </w:tc>
        <w:tc>
          <w:tcPr>
            <w:tcW w:w="4811" w:type="dxa"/>
            <w:vAlign w:val="center"/>
          </w:tcPr>
          <w:p>
            <w:pPr>
              <w:jc w:val="center"/>
              <w:rPr>
                <w:color w:val="auto"/>
                <w:sz w:val="21"/>
                <w:szCs w:val="21"/>
              </w:rPr>
            </w:pPr>
            <w:r>
              <w:rPr>
                <w:rFonts w:hint="eastAsia" w:ascii="宋体" w:hAnsi="宋体" w:cs="宋体"/>
                <w:color w:val="auto"/>
                <w:kern w:val="0"/>
                <w:sz w:val="21"/>
                <w:szCs w:val="21"/>
              </w:rPr>
              <w:t>技术性能参数要求</w:t>
            </w:r>
          </w:p>
        </w:tc>
        <w:tc>
          <w:tcPr>
            <w:tcW w:w="767" w:type="dxa"/>
            <w:vAlign w:val="center"/>
          </w:tcPr>
          <w:p>
            <w:pPr>
              <w:widowControl/>
              <w:jc w:val="center"/>
              <w:rPr>
                <w:color w:val="auto"/>
                <w:sz w:val="21"/>
                <w:szCs w:val="21"/>
              </w:rPr>
            </w:pPr>
            <w:r>
              <w:rPr>
                <w:rFonts w:hint="eastAsia" w:ascii="宋体" w:hAnsi="宋体" w:cs="宋体"/>
                <w:color w:val="auto"/>
                <w:kern w:val="0"/>
                <w:sz w:val="21"/>
                <w:szCs w:val="21"/>
              </w:rPr>
              <w:t>数量</w:t>
            </w:r>
          </w:p>
        </w:tc>
        <w:tc>
          <w:tcPr>
            <w:tcW w:w="900" w:type="dxa"/>
            <w:vAlign w:val="center"/>
          </w:tcPr>
          <w:p>
            <w:pPr>
              <w:widowControl/>
              <w:jc w:val="center"/>
              <w:rPr>
                <w:color w:val="auto"/>
                <w:sz w:val="21"/>
                <w:szCs w:val="21"/>
              </w:rPr>
            </w:pPr>
            <w:r>
              <w:rPr>
                <w:rFonts w:hint="eastAsia" w:ascii="宋体" w:hAnsi="宋体" w:cs="宋体"/>
                <w:color w:val="auto"/>
                <w:kern w:val="0"/>
                <w:sz w:val="21"/>
                <w:szCs w:val="21"/>
              </w:rPr>
              <w:t>单位</w:t>
            </w:r>
          </w:p>
        </w:tc>
        <w:tc>
          <w:tcPr>
            <w:tcW w:w="1303" w:type="dxa"/>
            <w:vAlign w:val="center"/>
          </w:tcPr>
          <w:p>
            <w:pPr>
              <w:jc w:val="center"/>
              <w:rPr>
                <w:color w:val="auto"/>
                <w:sz w:val="21"/>
                <w:szCs w:val="21"/>
              </w:rPr>
            </w:pPr>
            <w:r>
              <w:rPr>
                <w:rFonts w:hint="eastAsia"/>
                <w:color w:val="auto"/>
                <w:sz w:val="21"/>
                <w:szCs w:val="21"/>
              </w:rPr>
              <w:t>备注</w:t>
            </w:r>
          </w:p>
        </w:tc>
        <w:tc>
          <w:tcPr>
            <w:tcW w:w="1133" w:type="dxa"/>
            <w:vAlign w:val="center"/>
          </w:tcPr>
          <w:p>
            <w:pPr>
              <w:jc w:val="center"/>
              <w:rPr>
                <w:rFonts w:hint="eastAsia" w:eastAsia="宋体"/>
                <w:color w:val="auto"/>
                <w:sz w:val="21"/>
                <w:szCs w:val="21"/>
                <w:lang w:eastAsia="zh-CN"/>
              </w:rPr>
            </w:pPr>
            <w:r>
              <w:rPr>
                <w:rFonts w:hint="eastAsia"/>
                <w:color w:val="auto"/>
                <w:sz w:val="21"/>
                <w:szCs w:val="21"/>
                <w:lang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0628" w:type="dxa"/>
            <w:gridSpan w:val="7"/>
            <w:vAlign w:val="center"/>
          </w:tcPr>
          <w:p>
            <w:pPr>
              <w:jc w:val="left"/>
              <w:rPr>
                <w:rFonts w:hint="eastAsia"/>
                <w:color w:val="auto"/>
                <w:sz w:val="21"/>
                <w:szCs w:val="21"/>
              </w:rPr>
            </w:pPr>
            <w:r>
              <w:rPr>
                <w:rFonts w:hint="eastAsia"/>
                <w:color w:val="auto"/>
                <w:sz w:val="21"/>
                <w:szCs w:val="21"/>
              </w:rPr>
              <w:t>一、网上巡查系统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38" w:type="dxa"/>
          </w:tcPr>
          <w:p>
            <w:pPr>
              <w:jc w:val="center"/>
              <w:rPr>
                <w:color w:val="auto"/>
                <w:sz w:val="21"/>
                <w:szCs w:val="21"/>
              </w:rPr>
            </w:pPr>
            <w:r>
              <w:rPr>
                <w:rFonts w:hint="eastAsia"/>
                <w:color w:val="auto"/>
                <w:sz w:val="21"/>
                <w:szCs w:val="21"/>
              </w:rPr>
              <w:t>1</w:t>
            </w:r>
          </w:p>
        </w:tc>
        <w:tc>
          <w:tcPr>
            <w:tcW w:w="1076" w:type="dxa"/>
          </w:tcPr>
          <w:p>
            <w:pPr>
              <w:jc w:val="center"/>
              <w:rPr>
                <w:color w:val="auto"/>
                <w:sz w:val="21"/>
                <w:szCs w:val="21"/>
              </w:rPr>
            </w:pPr>
            <w:r>
              <w:rPr>
                <w:rFonts w:hint="eastAsia"/>
                <w:color w:val="auto"/>
                <w:sz w:val="21"/>
                <w:szCs w:val="21"/>
              </w:rPr>
              <w:t>标准化考场半球摄像机及拾音器、存储卡、安装盒</w:t>
            </w:r>
          </w:p>
        </w:tc>
        <w:tc>
          <w:tcPr>
            <w:tcW w:w="4811" w:type="dxa"/>
          </w:tcPr>
          <w:p>
            <w:pPr>
              <w:widowControl/>
              <w:jc w:val="left"/>
              <w:rPr>
                <w:rFonts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一、半球摄像机技术要求：</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1、摄像机应使用彩色高清宽动态红外半球定焦摄像机，支持3D降噪、强光抑制、背光补偿等功能；</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2、摄像机图像有效像素≥400W，采用≥2.8mm镜头；最低照度：≤0.01Lux；</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3、数字化编码技术支持 H.265、H.264等视频编码格式，信息交互格式符合ONVIF的相关要求；摄像机内置嵌入式H.264及H.265编码算法软件；</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4、</w:t>
            </w:r>
            <w:r>
              <w:rPr>
                <w:rFonts w:hint="eastAsia" w:ascii="Calibri" w:hAnsi="Calibri"/>
                <w:b/>
                <w:bCs/>
                <w:color w:val="auto"/>
                <w:sz w:val="21"/>
                <w:szCs w:val="21"/>
              </w:rPr>
              <w:t>※</w:t>
            </w:r>
            <w:r>
              <w:rPr>
                <w:rFonts w:hint="eastAsia" w:asciiTheme="minorEastAsia" w:hAnsiTheme="minorEastAsia" w:eastAsiaTheme="minorEastAsia" w:cstheme="minorEastAsia"/>
                <w:color w:val="auto"/>
                <w:kern w:val="0"/>
                <w:sz w:val="21"/>
                <w:szCs w:val="21"/>
              </w:rPr>
              <w:t>摄像机网络视频流封装格式应符合《国家教育考试网上巡查系统视频标准技术规范（2017 版）》；（提供第三方构出具的检测报告加盖公章）；</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5、</w:t>
            </w:r>
            <w:r>
              <w:rPr>
                <w:rFonts w:hint="eastAsia" w:ascii="Calibri" w:hAnsi="Calibri" w:eastAsia="宋体" w:cs="Times New Roman"/>
                <w:b/>
                <w:bCs/>
                <w:color w:val="auto"/>
                <w:sz w:val="21"/>
                <w:szCs w:val="21"/>
              </w:rPr>
              <w:t>※</w:t>
            </w:r>
            <w:r>
              <w:rPr>
                <w:rFonts w:hint="eastAsia" w:asciiTheme="minorEastAsia" w:hAnsiTheme="minorEastAsia" w:eastAsiaTheme="minorEastAsia" w:cstheme="minorEastAsia"/>
                <w:color w:val="auto"/>
                <w:kern w:val="0"/>
                <w:sz w:val="21"/>
                <w:szCs w:val="21"/>
              </w:rPr>
              <w:t>摄像机安全技术要求符合《GB 35114-2017公共安全视频监控联网信息安全技术要求；（提供第三方机构出具的检测报告加盖公章）；</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6、摄像机视频文件应支持 PS、TS、MP4等封装格式；</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7、摄像机支持SD卡插入和SD卡存储的远程管理，支持≥64GB；</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8、摄像机支持越界入侵、人脸检测、客流统计等智能功能的扩展；</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9、摄像机具有视频智能分析二次开发接口。</w:t>
            </w:r>
          </w:p>
          <w:p>
            <w:pPr>
              <w:widowControl/>
              <w:jc w:val="left"/>
              <w:rPr>
                <w:rFonts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10、</w:t>
            </w:r>
            <w:r>
              <w:rPr>
                <w:rFonts w:hint="eastAsia" w:ascii="Calibri" w:hAnsi="Calibri" w:eastAsia="宋体" w:cs="Times New Roman"/>
                <w:b/>
                <w:bCs/>
                <w:color w:val="auto"/>
                <w:sz w:val="21"/>
                <w:szCs w:val="21"/>
              </w:rPr>
              <w:t>※</w:t>
            </w:r>
            <w:r>
              <w:rPr>
                <w:rFonts w:hint="eastAsia" w:asciiTheme="minorEastAsia" w:hAnsiTheme="minorEastAsia" w:eastAsiaTheme="minorEastAsia" w:cstheme="minorEastAsia"/>
                <w:color w:val="auto"/>
                <w:kern w:val="0"/>
                <w:sz w:val="21"/>
                <w:szCs w:val="21"/>
              </w:rPr>
              <w:t>投标人需承诺：所投摄像机能无缝接入现有巡查系统中，支持巡查系统软件增、删、改、查、OSD配置等操作，支持与湖北省国家教育考试标准化考点网上巡查系统平台无缝对接，并能接入到教育部国家教育考试标准化考点网上巡查系统平台中，实现注册互联互通，提供投标人承诺函加盖公章； 所投摄像机可以接入学校现有的一体化教学管理系统中，实现统一的录播、教学巡视、教学督导等功能；</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11、含电源及摄像机安装支架。</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二、拾音器技术要求：</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1、拾音器应能清晰拾取考场内环境声音；</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2、所选拾音器应与摄像机音频输入接口阻抗等电气性能相匹配；</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3、监听面积：≥150㎡/7m；指向性：全指向；供电电源：12VDC；</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4、具有音频输出接口电源输入接口；</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5、拾音器必须符合《GB/T 30148-2013》电磁兼容抗扰度要求（提供第三方机构出具的检测报告加盖公章）；</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6、拾音器辐射骚扰限值和传导骚扰限值应符合GB/T 9254-2008中等级B的规定；（提供第三方机构出具的检测报告加盖公章）；</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7、设备接通额定电源后，输出音量不应存在时大时小、时有时无现象；</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8、设备接通额定电源后，输出声音不应发出由电源产生的异常声等非拾音环境中的杂声现象；</w:t>
            </w:r>
          </w:p>
          <w:p>
            <w:pPr>
              <w:widowControl/>
              <w:jc w:val="left"/>
              <w:rPr>
                <w:rFonts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9、拾音器输出电平幅度不低于100mV时，拾音器拾音半径不应小于7m；</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10、拾音器电源输入端口正负极反接1 min后，再次正常接入额定电源拾音器应能正常工作；</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11、在电源电压DC12V±10%范围内变化时，拾音器应能正常工作。</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三、设备安装盒</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1、设备电源安装盒，</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2、摄像机电源安装，</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3、拾音器电源安装。</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四、摄像机存储卡</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1、≥64GB，高速存储卡，</w:t>
            </w:r>
            <w:r>
              <w:rPr>
                <w:rFonts w:hint="eastAsia" w:asciiTheme="minorEastAsia" w:hAnsiTheme="minorEastAsia" w:eastAsiaTheme="minorEastAsia" w:cstheme="minorEastAsia"/>
                <w:color w:val="auto"/>
                <w:kern w:val="0"/>
                <w:sz w:val="21"/>
                <w:szCs w:val="21"/>
              </w:rPr>
              <w:br w:type="textWrapping"/>
            </w:r>
            <w:r>
              <w:rPr>
                <w:rFonts w:hint="eastAsia" w:asciiTheme="minorEastAsia" w:hAnsiTheme="minorEastAsia" w:eastAsiaTheme="minorEastAsia" w:cstheme="minorEastAsia"/>
                <w:color w:val="auto"/>
                <w:kern w:val="0"/>
                <w:sz w:val="21"/>
                <w:szCs w:val="21"/>
              </w:rPr>
              <w:t>2、读速≥80MB/S</w:t>
            </w:r>
          </w:p>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rPr>
              <w:t>五、系统集成要求：系统所需的施工、安装、调试等，材料包括但不限于网线、电源线、线槽、转接头、设备安装盒等辅材。电源设计要求：采用隐蔽式设计，避免人为破坏电源模块导致设备失效,保证设备使用的安全；摄像机供电要求统一集中供电，配置楼层、楼栋、总空开等。</w:t>
            </w:r>
          </w:p>
        </w:tc>
        <w:tc>
          <w:tcPr>
            <w:tcW w:w="767" w:type="dxa"/>
          </w:tcPr>
          <w:p>
            <w:pPr>
              <w:widowControl/>
              <w:jc w:val="center"/>
              <w:rPr>
                <w:color w:val="auto"/>
                <w:sz w:val="21"/>
                <w:szCs w:val="21"/>
              </w:rPr>
            </w:pPr>
            <w:r>
              <w:rPr>
                <w:rFonts w:hint="eastAsia" w:ascii="宋体" w:hAnsi="宋体" w:cs="宋体"/>
                <w:color w:val="auto"/>
                <w:kern w:val="0"/>
                <w:sz w:val="21"/>
                <w:szCs w:val="21"/>
              </w:rPr>
              <w:t>67</w:t>
            </w:r>
          </w:p>
        </w:tc>
        <w:tc>
          <w:tcPr>
            <w:tcW w:w="900" w:type="dxa"/>
          </w:tcPr>
          <w:p>
            <w:pPr>
              <w:widowControl/>
              <w:jc w:val="center"/>
              <w:rPr>
                <w:color w:val="auto"/>
                <w:sz w:val="21"/>
                <w:szCs w:val="21"/>
              </w:rPr>
            </w:pPr>
            <w:r>
              <w:rPr>
                <w:rFonts w:hint="eastAsia" w:ascii="宋体" w:hAnsi="宋体" w:cs="宋体"/>
                <w:color w:val="auto"/>
                <w:kern w:val="0"/>
                <w:sz w:val="21"/>
                <w:szCs w:val="21"/>
              </w:rPr>
              <w:t>套</w:t>
            </w:r>
          </w:p>
        </w:tc>
        <w:tc>
          <w:tcPr>
            <w:tcW w:w="1303"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55间教室，43间普通教室，12间大教室</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含电源、支架、存储卡、拾音器</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普通教室：43*1=43个</w:t>
            </w:r>
          </w:p>
          <w:p>
            <w:pPr>
              <w:jc w:val="center"/>
              <w:rPr>
                <w:color w:val="auto"/>
                <w:sz w:val="21"/>
                <w:szCs w:val="21"/>
              </w:rPr>
            </w:pPr>
            <w:r>
              <w:rPr>
                <w:rFonts w:hint="eastAsia" w:ascii="宋体" w:hAnsi="宋体" w:cs="宋体"/>
                <w:color w:val="auto"/>
                <w:kern w:val="0"/>
                <w:sz w:val="21"/>
                <w:szCs w:val="21"/>
              </w:rPr>
              <w:t>大教室：12*2=24个</w:t>
            </w:r>
          </w:p>
        </w:tc>
        <w:tc>
          <w:tcPr>
            <w:tcW w:w="1133" w:type="dxa"/>
          </w:tcPr>
          <w:p>
            <w:pPr>
              <w:jc w:val="cente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38" w:type="dxa"/>
          </w:tcPr>
          <w:p>
            <w:pPr>
              <w:jc w:val="center"/>
              <w:rPr>
                <w:color w:val="auto"/>
                <w:sz w:val="21"/>
                <w:szCs w:val="21"/>
              </w:rPr>
            </w:pPr>
            <w:r>
              <w:rPr>
                <w:rFonts w:hint="eastAsia"/>
                <w:color w:val="auto"/>
                <w:sz w:val="21"/>
                <w:szCs w:val="21"/>
              </w:rPr>
              <w:t>2</w:t>
            </w:r>
          </w:p>
        </w:tc>
        <w:tc>
          <w:tcPr>
            <w:tcW w:w="1076" w:type="dxa"/>
          </w:tcPr>
          <w:p>
            <w:pPr>
              <w:jc w:val="center"/>
              <w:rPr>
                <w:color w:val="auto"/>
                <w:sz w:val="21"/>
                <w:szCs w:val="21"/>
              </w:rPr>
            </w:pPr>
            <w:r>
              <w:rPr>
                <w:rFonts w:hint="eastAsia" w:ascii="宋体" w:hAnsi="宋体" w:cs="宋体"/>
                <w:color w:val="auto"/>
                <w:kern w:val="0"/>
                <w:sz w:val="21"/>
                <w:szCs w:val="21"/>
              </w:rPr>
              <w:t>标准化考场球形摄像机及拾音器、存储卡、安装盒</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一、球形摄像机技术要求：</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1、摄像机应使用彩色高清宽动态红外400万球形摄像机，支持3D降噪 、强光抑制、背光补偿等功能，摄像机内嵌视音频编码算法软件；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2、图像传感器≥1/2.5英寸CMOS；</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3、图像分辨率≥2560×1440；</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4、最低照度：≤0.005Lux；</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5、支持H.264、H.265等多种视频编码标准；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6、支持G.711/MP2L2/AAC音频编码标准；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7、支持TS、PS流封装，符合《国家教考试网上巡查系统视频标准技术规范（2017版）》的相关要求；</w:t>
            </w:r>
            <w:r>
              <w:rPr>
                <w:rFonts w:hint="eastAsia" w:ascii="宋体" w:hAnsi="宋体" w:cs="宋体"/>
                <w:color w:val="auto"/>
                <w:kern w:val="0"/>
                <w:sz w:val="21"/>
                <w:szCs w:val="21"/>
              </w:rPr>
              <w:br w:type="textWrapping"/>
            </w:r>
            <w:r>
              <w:rPr>
                <w:rFonts w:hint="eastAsia" w:ascii="宋体" w:hAnsi="宋体" w:cs="宋体"/>
                <w:color w:val="auto"/>
                <w:kern w:val="0"/>
                <w:sz w:val="21"/>
                <w:szCs w:val="21"/>
              </w:rPr>
              <w:t>8、信噪比：≥55dB；</w:t>
            </w:r>
            <w:r>
              <w:rPr>
                <w:rFonts w:hint="eastAsia" w:ascii="宋体" w:hAnsi="宋体" w:cs="宋体"/>
                <w:color w:val="auto"/>
                <w:kern w:val="0"/>
                <w:sz w:val="21"/>
                <w:szCs w:val="21"/>
              </w:rPr>
              <w:br w:type="textWrapping"/>
            </w:r>
            <w:r>
              <w:rPr>
                <w:rFonts w:hint="eastAsia" w:ascii="宋体" w:hAnsi="宋体" w:cs="宋体"/>
                <w:color w:val="auto"/>
                <w:kern w:val="0"/>
                <w:sz w:val="21"/>
                <w:szCs w:val="21"/>
              </w:rPr>
              <w:t>9、支持ROI设置，支持设置4块感兴趣区域；</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10、具有移动侦测功能；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11、自动背光补偿、自动跟踪白平衡、支持日夜转换；</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12、支持音频陡升陡降检测，具有音频输入异常检测设置功能；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13、具有时钟显示（OSD）功能；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14、支持NTP时钟同步校时；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15、支持本地内存卡存储，支持SD卡插入和SD卡存储的远程管理，配置容量不少于64G的SD卡；</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16、红外照射：红外照射距离可达10-30米；</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17、视频输出：10M/100M网口，支持双码流输出；</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18、不少于支持1路报警输入和1路报警输出；</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19、支持手动、定时、报警触发录像功能；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 xml:space="preserve">20、支持IE,Chrome,Firefox,Safari等浏览器浏览； </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21、</w:t>
            </w:r>
            <w:r>
              <w:rPr>
                <w:rFonts w:hint="eastAsia" w:ascii="Calibri" w:hAnsi="Calibri"/>
                <w:b/>
                <w:bCs/>
                <w:color w:val="auto"/>
                <w:sz w:val="21"/>
                <w:szCs w:val="21"/>
              </w:rPr>
              <w:t>※</w:t>
            </w:r>
            <w:r>
              <w:rPr>
                <w:rFonts w:hint="eastAsia" w:ascii="宋体" w:hAnsi="宋体" w:cs="宋体"/>
                <w:color w:val="auto"/>
                <w:kern w:val="0"/>
                <w:sz w:val="21"/>
                <w:szCs w:val="21"/>
              </w:rPr>
              <w:t>支持标准SIP 2.0，支持SIP地址解析、信令转发，支持SIP URI统一命名规则、分级命名，符合《国家教考试网上巡查系统视频标准技术规范（2017版）》的相关要求；（提供第三方机构出具的检测报告加盖公章）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22、支持DC12V/ POE供电；</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23、配件：含电源模块、安装支架、64g存储卡、拾音器、电源安装盒；</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24、</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投标人需承诺：所投摄像机能无缝接入现有巡查系统中，支持巡查系统软件增、删、改、查、O</w:t>
            </w:r>
            <w:r>
              <w:rPr>
                <w:rFonts w:ascii="宋体" w:hAnsi="宋体" w:cs="宋体"/>
                <w:color w:val="auto"/>
                <w:kern w:val="0"/>
                <w:sz w:val="21"/>
                <w:szCs w:val="21"/>
              </w:rPr>
              <w:t>SD</w:t>
            </w:r>
            <w:r>
              <w:rPr>
                <w:rFonts w:hint="eastAsia" w:ascii="宋体" w:hAnsi="宋体" w:cs="宋体"/>
                <w:color w:val="auto"/>
                <w:kern w:val="0"/>
                <w:sz w:val="21"/>
                <w:szCs w:val="21"/>
              </w:rPr>
              <w:t>配置等操作，支持与湖北省国家教育考试标准化考点网上巡查系统平台无缝对接，并能接入到教育部国家教育考试标准化考点网上巡查系统平台中，实现注册互联互通，提供投标人承诺函加盖公章；所投摄像机可以接入学校现有的一体化教学管理系统中，实现统一的录播、教学巡视、教学督导等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二、拾音器技术要求：</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1、拾音器应能清晰拾取考场内环境声音；</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2、所选拾音器应与摄像机音频输入接口阻抗等电气性能相匹配；</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3、具有音频输出接口电源输入接口；</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4、设备接通额定电源后，输出音量不应存在时大时小、时有时无现象；输出声音不应发出由电源产生的异常声等非拾音环境中的杂声现象；</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5、拾音器输出电平幅度不低于100mV时，拾音器拾音半径不应小于7m；</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6、拾音器电源输入端口正负极反接1 min后，再次正常接入额定电源拾音器应能正常工作；</w:t>
            </w:r>
            <w:r>
              <w:rPr>
                <w:rFonts w:hint="eastAsia" w:ascii="宋体" w:hAnsi="宋体" w:cs="宋体"/>
                <w:color w:val="auto"/>
                <w:kern w:val="0"/>
                <w:sz w:val="21"/>
                <w:szCs w:val="21"/>
              </w:rPr>
              <w:br w:type="textWrapping"/>
            </w:r>
            <w:r>
              <w:rPr>
                <w:rFonts w:hint="eastAsia" w:ascii="宋体" w:hAnsi="宋体" w:cs="宋体"/>
                <w:color w:val="auto"/>
                <w:kern w:val="0"/>
                <w:sz w:val="21"/>
                <w:szCs w:val="21"/>
              </w:rPr>
              <w:t>7、在电源电压DC12V±10%范围内变化时，拾音器应能正常工作</w:t>
            </w:r>
            <w:r>
              <w:rPr>
                <w:rFonts w:hint="eastAsia" w:ascii="宋体" w:hAnsi="宋体" w:cs="宋体"/>
                <w:color w:val="auto"/>
                <w:kern w:val="0"/>
                <w:sz w:val="21"/>
                <w:szCs w:val="21"/>
              </w:rPr>
              <w:br w:type="textWrapping"/>
            </w:r>
            <w:r>
              <w:rPr>
                <w:rFonts w:hint="eastAsia" w:ascii="宋体" w:hAnsi="宋体" w:cs="宋体"/>
                <w:color w:val="auto"/>
                <w:kern w:val="0"/>
                <w:sz w:val="21"/>
                <w:szCs w:val="21"/>
              </w:rPr>
              <w:t>8、拾音器具有音频信号降噪处理功能；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三、设备安装盒</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1、设备电源安装盒，</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2、摄像机电源安装，</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3、拾音器电源安装。</w:t>
            </w:r>
            <w:r>
              <w:rPr>
                <w:rFonts w:hint="eastAsia" w:ascii="宋体" w:hAnsi="宋体" w:cs="宋体"/>
                <w:color w:val="auto"/>
                <w:kern w:val="0"/>
                <w:sz w:val="21"/>
                <w:szCs w:val="21"/>
              </w:rPr>
              <w:br w:type="textWrapping"/>
            </w:r>
            <w:r>
              <w:rPr>
                <w:rFonts w:hint="eastAsia" w:ascii="宋体" w:hAnsi="宋体" w:cs="宋体"/>
                <w:color w:val="auto"/>
                <w:kern w:val="0"/>
                <w:sz w:val="21"/>
                <w:szCs w:val="21"/>
              </w:rPr>
              <w:t>四、摄像机存储卡</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1、≥64GB，高速存储卡，</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2、读速≥80MB/S</w:t>
            </w:r>
          </w:p>
          <w:p>
            <w:pPr>
              <w:rPr>
                <w:color w:val="auto"/>
                <w:sz w:val="21"/>
                <w:szCs w:val="21"/>
              </w:rPr>
            </w:pPr>
            <w:r>
              <w:rPr>
                <w:rFonts w:hint="eastAsia" w:ascii="宋体" w:hAnsi="宋体" w:cs="宋体"/>
                <w:color w:val="auto"/>
                <w:kern w:val="0"/>
                <w:sz w:val="21"/>
                <w:szCs w:val="21"/>
              </w:rPr>
              <w:t>五、系统集成要求：系统所需的施工、安装、调试等，材料包括但不限于网线、电源线、线槽、转接头、设备安装盒等辅材。电源设计要求：采用隐蔽式设计，避免人为破坏电源模块导致设备失效,保证设备使用的安全；摄像机供电要求统一集中供电，配置楼层、楼栋、总空开等。</w:t>
            </w:r>
          </w:p>
        </w:tc>
        <w:tc>
          <w:tcPr>
            <w:tcW w:w="767" w:type="dxa"/>
          </w:tcPr>
          <w:p>
            <w:pPr>
              <w:widowControl/>
              <w:jc w:val="center"/>
              <w:rPr>
                <w:color w:val="auto"/>
                <w:sz w:val="21"/>
                <w:szCs w:val="21"/>
              </w:rPr>
            </w:pPr>
            <w:r>
              <w:rPr>
                <w:rFonts w:hint="eastAsia" w:ascii="宋体" w:hAnsi="宋体" w:cs="宋体"/>
                <w:color w:val="auto"/>
                <w:kern w:val="0"/>
                <w:sz w:val="21"/>
                <w:szCs w:val="21"/>
              </w:rPr>
              <w:t>55</w:t>
            </w:r>
          </w:p>
        </w:tc>
        <w:tc>
          <w:tcPr>
            <w:tcW w:w="900" w:type="dxa"/>
          </w:tcPr>
          <w:p>
            <w:pPr>
              <w:widowControl/>
              <w:jc w:val="center"/>
              <w:rPr>
                <w:color w:val="auto"/>
                <w:sz w:val="21"/>
                <w:szCs w:val="21"/>
              </w:rPr>
            </w:pPr>
            <w:r>
              <w:rPr>
                <w:rFonts w:hint="eastAsia" w:ascii="宋体" w:hAnsi="宋体" w:cs="宋体"/>
                <w:color w:val="auto"/>
                <w:kern w:val="0"/>
                <w:sz w:val="21"/>
                <w:szCs w:val="21"/>
              </w:rPr>
              <w:t>套</w:t>
            </w:r>
          </w:p>
        </w:tc>
        <w:tc>
          <w:tcPr>
            <w:tcW w:w="1303"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含电源、支架、存储卡、拾音器</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普通教室：43*1=43个</w:t>
            </w:r>
          </w:p>
          <w:p>
            <w:pPr>
              <w:jc w:val="center"/>
              <w:rPr>
                <w:color w:val="auto"/>
                <w:sz w:val="21"/>
                <w:szCs w:val="21"/>
              </w:rPr>
            </w:pPr>
            <w:r>
              <w:rPr>
                <w:rFonts w:hint="eastAsia" w:ascii="宋体" w:hAnsi="宋体" w:cs="宋体"/>
                <w:color w:val="auto"/>
                <w:kern w:val="0"/>
                <w:sz w:val="21"/>
                <w:szCs w:val="21"/>
              </w:rPr>
              <w:t>大教室：12*1=12个</w:t>
            </w:r>
          </w:p>
        </w:tc>
        <w:tc>
          <w:tcPr>
            <w:tcW w:w="1133" w:type="dxa"/>
          </w:tcPr>
          <w:p>
            <w:pPr>
              <w:jc w:val="cente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38" w:type="dxa"/>
          </w:tcPr>
          <w:p>
            <w:pPr>
              <w:jc w:val="center"/>
              <w:rPr>
                <w:color w:val="auto"/>
                <w:sz w:val="21"/>
                <w:szCs w:val="21"/>
              </w:rPr>
            </w:pPr>
            <w:r>
              <w:rPr>
                <w:rFonts w:hint="eastAsia" w:ascii="宋体" w:hAnsi="宋体" w:cs="宋体"/>
                <w:color w:val="auto"/>
                <w:kern w:val="0"/>
                <w:sz w:val="21"/>
                <w:szCs w:val="21"/>
              </w:rPr>
              <w:t>3</w:t>
            </w:r>
          </w:p>
        </w:tc>
        <w:tc>
          <w:tcPr>
            <w:tcW w:w="1076" w:type="dxa"/>
          </w:tcPr>
          <w:p>
            <w:pPr>
              <w:jc w:val="center"/>
              <w:rPr>
                <w:color w:val="auto"/>
                <w:sz w:val="21"/>
                <w:szCs w:val="21"/>
              </w:rPr>
            </w:pPr>
            <w:r>
              <w:rPr>
                <w:rFonts w:hint="eastAsia" w:ascii="宋体" w:hAnsi="宋体" w:cs="宋体"/>
                <w:color w:val="auto"/>
                <w:kern w:val="0"/>
                <w:sz w:val="21"/>
                <w:szCs w:val="21"/>
              </w:rPr>
              <w:t>网络硬盘录像机（含硬盘）</w:t>
            </w:r>
          </w:p>
        </w:tc>
        <w:tc>
          <w:tcPr>
            <w:tcW w:w="4811" w:type="dxa"/>
          </w:tcPr>
          <w:p>
            <w:pPr>
              <w:widowControl/>
              <w:jc w:val="left"/>
              <w:rPr>
                <w:rFonts w:ascii="宋体" w:hAnsi="宋体" w:cs="宋体"/>
                <w:color w:val="auto"/>
                <w:kern w:val="0"/>
                <w:sz w:val="21"/>
                <w:szCs w:val="21"/>
              </w:rPr>
            </w:pPr>
            <w:r>
              <w:rPr>
                <w:rFonts w:hint="eastAsia" w:ascii="宋体" w:hAnsi="宋体" w:cs="宋体"/>
                <w:color w:val="auto"/>
                <w:kern w:val="0"/>
                <w:sz w:val="21"/>
                <w:szCs w:val="21"/>
              </w:rPr>
              <w:t>1、网络视频输入：≥128路，最大输入带宽≥512Mbps；</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2、视音频输出：≥2个HDMI和2个VGA输出接口，支持≥4K分辨率输出；</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3、录像分辨率：4K、1080p、720p及以下分辨率；</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4、盘位：不少于16个SATA接口，1个eSATA接口；容量：每个接口支持容量最高不小于6TB；</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支持SIP、RTP、RTCP等网络协议，支持标准SIP 2.0，支持SIP地址解析、信令转发，支持SIP URI统一命名规则、分级命名，符合《国家教考试网上巡查系统视频标准技术规范（2017版）》的相关要求（提供第三方机构出具的检测报告加盖公章）；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6、RAID级别：支持RAID 0、1、5、10；</w:t>
            </w:r>
            <w:r>
              <w:rPr>
                <w:rFonts w:hint="eastAsia" w:ascii="宋体" w:hAnsi="宋体" w:cs="宋体"/>
                <w:color w:val="auto"/>
                <w:kern w:val="0"/>
                <w:sz w:val="21"/>
                <w:szCs w:val="21"/>
              </w:rPr>
              <w:br w:type="textWrapping"/>
            </w:r>
            <w:r>
              <w:rPr>
                <w:rFonts w:hint="eastAsia" w:ascii="宋体" w:hAnsi="宋体" w:cs="宋体"/>
                <w:color w:val="auto"/>
                <w:kern w:val="0"/>
                <w:sz w:val="21"/>
                <w:szCs w:val="21"/>
              </w:rPr>
              <w:t>7、录像模式：手动录像、定时录像、事件录像、移动侦测录像、报警录像；</w:t>
            </w:r>
            <w:r>
              <w:rPr>
                <w:rFonts w:hint="eastAsia" w:ascii="宋体" w:hAnsi="宋体" w:cs="宋体"/>
                <w:color w:val="auto"/>
                <w:kern w:val="0"/>
                <w:sz w:val="21"/>
                <w:szCs w:val="21"/>
              </w:rPr>
              <w:br w:type="textWrapping"/>
            </w:r>
            <w:r>
              <w:rPr>
                <w:rFonts w:hint="eastAsia" w:ascii="宋体" w:hAnsi="宋体" w:cs="宋体"/>
                <w:color w:val="auto"/>
                <w:kern w:val="0"/>
                <w:sz w:val="21"/>
                <w:szCs w:val="21"/>
              </w:rPr>
              <w:t>8、网络接口：不少于</w:t>
            </w:r>
            <w:r>
              <w:rPr>
                <w:rFonts w:ascii="宋体" w:hAnsi="宋体" w:cs="宋体"/>
                <w:color w:val="auto"/>
                <w:kern w:val="0"/>
                <w:sz w:val="21"/>
                <w:szCs w:val="21"/>
              </w:rPr>
              <w:t>4</w:t>
            </w:r>
            <w:r>
              <w:rPr>
                <w:rFonts w:hint="eastAsia" w:ascii="宋体" w:hAnsi="宋体" w:cs="宋体"/>
                <w:color w:val="auto"/>
                <w:kern w:val="0"/>
                <w:sz w:val="21"/>
                <w:szCs w:val="21"/>
              </w:rPr>
              <w:t>个，RJ45 10M/100M/1000M自适应以太网口；</w:t>
            </w:r>
            <w:r>
              <w:rPr>
                <w:rFonts w:hint="eastAsia" w:ascii="宋体" w:hAnsi="宋体" w:cs="宋体"/>
                <w:color w:val="auto"/>
                <w:kern w:val="0"/>
                <w:sz w:val="21"/>
                <w:szCs w:val="21"/>
              </w:rPr>
              <w:br w:type="textWrapping"/>
            </w:r>
            <w:r>
              <w:rPr>
                <w:rFonts w:hint="eastAsia" w:ascii="宋体" w:hAnsi="宋体" w:cs="宋体"/>
                <w:color w:val="auto"/>
                <w:kern w:val="0"/>
                <w:sz w:val="21"/>
                <w:szCs w:val="21"/>
              </w:rPr>
              <w:t>9、视音频编码与传输：视音频编解码应支持H.264、H.265、G.711、AAC编码格式；</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10、</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为保证录像资料存储的安全，产品性能稳定可靠，本设备不应为OEM产品，强制性产品认证证书中委托人、生产者、生产企业应为同一设备厂商，提供3C认证证书复印件并加盖公章；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11、内置集中存储录像服务器软件；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12、具有中国节能产品认证。</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13、</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投标人需承诺：所投网络硬盘录像机能与学校现有网上巡查系统、湖北省国家教育考试标准化考点网上巡查系统平台无缝对接，并能接入到教育部国家教育考试标准化考点网上巡查系统平台中，提供投标人承诺函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14、配置16块硬盘：监控级硬盘，单盘≥4T;转速≥5400rpm。</w:t>
            </w:r>
          </w:p>
          <w:p>
            <w:pPr>
              <w:rPr>
                <w:color w:val="auto"/>
                <w:sz w:val="21"/>
                <w:szCs w:val="21"/>
              </w:rPr>
            </w:pPr>
            <w:r>
              <w:rPr>
                <w:rFonts w:hint="eastAsia" w:ascii="宋体" w:hAnsi="宋体" w:cs="宋体"/>
                <w:color w:val="auto"/>
                <w:kern w:val="0"/>
                <w:sz w:val="21"/>
                <w:szCs w:val="21"/>
              </w:rPr>
              <w:t>1</w:t>
            </w:r>
            <w:r>
              <w:rPr>
                <w:rFonts w:ascii="宋体" w:hAnsi="宋体" w:cs="宋体"/>
                <w:color w:val="auto"/>
                <w:kern w:val="0"/>
                <w:sz w:val="21"/>
                <w:szCs w:val="21"/>
              </w:rPr>
              <w:t>5</w:t>
            </w:r>
            <w:r>
              <w:rPr>
                <w:rFonts w:hint="eastAsia" w:ascii="宋体" w:hAnsi="宋体" w:cs="宋体"/>
                <w:color w:val="auto"/>
                <w:kern w:val="0"/>
                <w:sz w:val="21"/>
                <w:szCs w:val="21"/>
              </w:rPr>
              <w:t>、系统集成要求：系统所需的施工、安装、调试等，材料包括但不限于网线、电源线、线槽、转接头、设备安装盒等辅材。</w:t>
            </w:r>
          </w:p>
        </w:tc>
        <w:tc>
          <w:tcPr>
            <w:tcW w:w="767" w:type="dxa"/>
          </w:tcPr>
          <w:p>
            <w:pPr>
              <w:widowControl/>
              <w:jc w:val="center"/>
              <w:rPr>
                <w:color w:val="auto"/>
                <w:sz w:val="21"/>
                <w:szCs w:val="21"/>
              </w:rPr>
            </w:pPr>
            <w:r>
              <w:rPr>
                <w:rFonts w:hint="eastAsia" w:ascii="宋体" w:hAnsi="宋体" w:cs="宋体"/>
                <w:color w:val="auto"/>
                <w:kern w:val="0"/>
                <w:sz w:val="21"/>
                <w:szCs w:val="21"/>
              </w:rPr>
              <w:t>1</w:t>
            </w:r>
          </w:p>
        </w:tc>
        <w:tc>
          <w:tcPr>
            <w:tcW w:w="900" w:type="dxa"/>
          </w:tcPr>
          <w:p>
            <w:pPr>
              <w:widowControl/>
              <w:jc w:val="center"/>
              <w:rPr>
                <w:color w:val="auto"/>
                <w:sz w:val="21"/>
                <w:szCs w:val="21"/>
              </w:rPr>
            </w:pPr>
            <w:r>
              <w:rPr>
                <w:rFonts w:hint="eastAsia" w:ascii="宋体" w:hAnsi="宋体" w:cs="宋体"/>
                <w:color w:val="auto"/>
                <w:kern w:val="0"/>
                <w:sz w:val="21"/>
                <w:szCs w:val="21"/>
              </w:rPr>
              <w:t>套</w:t>
            </w:r>
          </w:p>
        </w:tc>
        <w:tc>
          <w:tcPr>
            <w:tcW w:w="1303" w:type="dxa"/>
          </w:tcPr>
          <w:p>
            <w:pPr>
              <w:rPr>
                <w:color w:val="auto"/>
                <w:sz w:val="21"/>
                <w:szCs w:val="21"/>
              </w:rPr>
            </w:pPr>
            <w:r>
              <w:rPr>
                <w:rFonts w:hint="eastAsia" w:ascii="宋体" w:hAnsi="宋体" w:cs="宋体"/>
                <w:color w:val="auto"/>
                <w:kern w:val="0"/>
                <w:sz w:val="21"/>
                <w:szCs w:val="21"/>
              </w:rPr>
              <w:t>128路，含16块4TB硬盘，安装在机柜中　</w:t>
            </w:r>
          </w:p>
        </w:tc>
        <w:tc>
          <w:tcPr>
            <w:tcW w:w="1133" w:type="dxa"/>
          </w:tcPr>
          <w:p>
            <w:pP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jc w:val="center"/>
              <w:rPr>
                <w:color w:val="auto"/>
                <w:sz w:val="21"/>
                <w:szCs w:val="21"/>
              </w:rPr>
            </w:pPr>
            <w:r>
              <w:rPr>
                <w:rFonts w:ascii="宋体" w:hAnsi="宋体" w:cs="宋体"/>
                <w:color w:val="auto"/>
                <w:kern w:val="0"/>
                <w:sz w:val="21"/>
                <w:szCs w:val="21"/>
              </w:rPr>
              <w:t>4</w:t>
            </w:r>
          </w:p>
        </w:tc>
        <w:tc>
          <w:tcPr>
            <w:tcW w:w="1076" w:type="dxa"/>
          </w:tcPr>
          <w:p>
            <w:pPr>
              <w:jc w:val="center"/>
              <w:rPr>
                <w:color w:val="auto"/>
                <w:sz w:val="21"/>
                <w:szCs w:val="21"/>
              </w:rPr>
            </w:pPr>
            <w:r>
              <w:rPr>
                <w:rFonts w:hint="eastAsia" w:ascii="宋体" w:hAnsi="宋体" w:cs="宋体"/>
                <w:color w:val="auto"/>
                <w:kern w:val="0"/>
                <w:sz w:val="21"/>
                <w:szCs w:val="21"/>
              </w:rPr>
              <w:t>网络时钟</w:t>
            </w:r>
          </w:p>
        </w:tc>
        <w:tc>
          <w:tcPr>
            <w:tcW w:w="4811" w:type="dxa"/>
          </w:tcPr>
          <w:p>
            <w:pPr>
              <w:widowControl/>
              <w:jc w:val="left"/>
              <w:rPr>
                <w:rFonts w:ascii="宋体" w:hAnsi="宋体" w:cs="宋体"/>
                <w:color w:val="auto"/>
                <w:kern w:val="0"/>
                <w:sz w:val="21"/>
                <w:szCs w:val="21"/>
              </w:rPr>
            </w:pPr>
            <w:r>
              <w:rPr>
                <w:rFonts w:hint="eastAsia" w:ascii="宋体" w:hAnsi="宋体" w:cs="宋体"/>
                <w:color w:val="auto"/>
                <w:kern w:val="0"/>
                <w:sz w:val="21"/>
                <w:szCs w:val="21"/>
              </w:rPr>
              <w:t>1、单色LED显示屏；专用铝合金</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2、尺寸：L608mm*H304mm（具体尺寸以施工现场为准）；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3、专用黑色铝合金外框；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4、含采集卡、接收卡和软件。</w:t>
            </w:r>
          </w:p>
          <w:p>
            <w:pPr>
              <w:rPr>
                <w:color w:val="auto"/>
                <w:sz w:val="21"/>
                <w:szCs w:val="21"/>
              </w:rPr>
            </w:pPr>
            <w:r>
              <w:rPr>
                <w:rFonts w:ascii="宋体" w:hAnsi="宋体" w:cs="宋体"/>
                <w:color w:val="auto"/>
                <w:kern w:val="0"/>
                <w:sz w:val="21"/>
                <w:szCs w:val="21"/>
              </w:rPr>
              <w:t>5</w:t>
            </w:r>
            <w:r>
              <w:rPr>
                <w:rFonts w:hint="eastAsia" w:ascii="宋体" w:hAnsi="宋体" w:cs="宋体"/>
                <w:color w:val="auto"/>
                <w:kern w:val="0"/>
                <w:sz w:val="21"/>
                <w:szCs w:val="21"/>
              </w:rPr>
              <w:t>、系统集成要求：系统所需的施工、安装、调试等，材料包括但不限于网线、电源线、线槽、转接头、设备安装盒等辅材。</w:t>
            </w:r>
          </w:p>
        </w:tc>
        <w:tc>
          <w:tcPr>
            <w:tcW w:w="767" w:type="dxa"/>
          </w:tcPr>
          <w:p>
            <w:pPr>
              <w:widowControl/>
              <w:jc w:val="center"/>
              <w:rPr>
                <w:color w:val="auto"/>
                <w:sz w:val="21"/>
                <w:szCs w:val="21"/>
              </w:rPr>
            </w:pPr>
            <w:r>
              <w:rPr>
                <w:rFonts w:hint="eastAsia" w:ascii="宋体" w:hAnsi="宋体" w:cs="宋体"/>
                <w:color w:val="auto"/>
                <w:kern w:val="0"/>
                <w:sz w:val="21"/>
                <w:szCs w:val="21"/>
              </w:rPr>
              <w:t>97</w:t>
            </w:r>
          </w:p>
        </w:tc>
        <w:tc>
          <w:tcPr>
            <w:tcW w:w="900" w:type="dxa"/>
          </w:tcPr>
          <w:p>
            <w:pPr>
              <w:widowControl/>
              <w:jc w:val="center"/>
              <w:rPr>
                <w:color w:val="auto"/>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每个考场一套，工2楼5</w:t>
            </w:r>
            <w:r>
              <w:rPr>
                <w:rFonts w:ascii="宋体" w:hAnsi="宋体" w:cs="宋体"/>
                <w:color w:val="auto"/>
                <w:kern w:val="0"/>
                <w:sz w:val="21"/>
                <w:szCs w:val="21"/>
              </w:rPr>
              <w:t>5</w:t>
            </w:r>
            <w:r>
              <w:rPr>
                <w:rFonts w:hint="eastAsia" w:ascii="宋体" w:hAnsi="宋体" w:cs="宋体"/>
                <w:color w:val="auto"/>
                <w:kern w:val="0"/>
                <w:sz w:val="21"/>
                <w:szCs w:val="21"/>
              </w:rPr>
              <w:t>套，工程1号楼4</w:t>
            </w:r>
            <w:r>
              <w:rPr>
                <w:rFonts w:ascii="宋体" w:hAnsi="宋体" w:cs="宋体"/>
                <w:color w:val="auto"/>
                <w:kern w:val="0"/>
                <w:sz w:val="21"/>
                <w:szCs w:val="21"/>
              </w:rPr>
              <w:t>2</w:t>
            </w:r>
            <w:r>
              <w:rPr>
                <w:rFonts w:hint="eastAsia" w:ascii="宋体" w:hAnsi="宋体" w:cs="宋体"/>
                <w:color w:val="auto"/>
                <w:kern w:val="0"/>
                <w:sz w:val="21"/>
                <w:szCs w:val="21"/>
              </w:rPr>
              <w:t>套</w:t>
            </w:r>
          </w:p>
        </w:tc>
        <w:tc>
          <w:tcPr>
            <w:tcW w:w="1133" w:type="dxa"/>
          </w:tcPr>
          <w:p>
            <w:pPr>
              <w:jc w:val="center"/>
              <w:rPr>
                <w:rFonts w:hint="eastAsia" w:ascii="宋体" w:hAnsi="宋体" w:eastAsia="宋体" w:cs="宋体"/>
                <w:color w:val="auto"/>
                <w:kern w:val="0"/>
                <w:sz w:val="21"/>
                <w:szCs w:val="21"/>
                <w:lang w:eastAsia="zh-CN"/>
              </w:rPr>
            </w:pPr>
            <w:r>
              <w:rPr>
                <w:rFonts w:hint="eastAsia"/>
                <w:b/>
                <w:bCs/>
                <w:color w:val="2A20DC"/>
              </w:rPr>
              <w:t>专门面向中小微企业</w:t>
            </w:r>
            <w:r>
              <w:rPr>
                <w:rFonts w:hint="eastAsia"/>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jc w:val="center"/>
              <w:rPr>
                <w:color w:val="auto"/>
                <w:sz w:val="21"/>
                <w:szCs w:val="21"/>
              </w:rPr>
            </w:pPr>
            <w:r>
              <w:rPr>
                <w:rFonts w:hint="eastAsia" w:ascii="宋体" w:hAnsi="宋体" w:cs="宋体"/>
                <w:color w:val="auto"/>
                <w:kern w:val="0"/>
                <w:sz w:val="21"/>
                <w:szCs w:val="21"/>
              </w:rPr>
              <w:t>5</w:t>
            </w:r>
          </w:p>
        </w:tc>
        <w:tc>
          <w:tcPr>
            <w:tcW w:w="1076" w:type="dxa"/>
          </w:tcPr>
          <w:p>
            <w:pPr>
              <w:jc w:val="center"/>
              <w:rPr>
                <w:color w:val="auto"/>
                <w:sz w:val="21"/>
                <w:szCs w:val="21"/>
              </w:rPr>
            </w:pPr>
            <w:r>
              <w:rPr>
                <w:rFonts w:hint="eastAsia" w:ascii="宋体" w:hAnsi="宋体" w:cs="宋体"/>
                <w:color w:val="auto"/>
                <w:kern w:val="0"/>
                <w:sz w:val="21"/>
                <w:szCs w:val="21"/>
              </w:rPr>
              <w:t>16口接入交换机</w:t>
            </w:r>
          </w:p>
        </w:tc>
        <w:tc>
          <w:tcPr>
            <w:tcW w:w="4811" w:type="dxa"/>
          </w:tcPr>
          <w:p>
            <w:pPr>
              <w:rPr>
                <w:rFonts w:hint="eastAsia" w:ascii="宋体" w:hAnsi="宋体" w:cs="宋体"/>
                <w:color w:val="auto"/>
                <w:kern w:val="0"/>
                <w:sz w:val="21"/>
                <w:szCs w:val="21"/>
              </w:rPr>
            </w:pPr>
            <w:r>
              <w:rPr>
                <w:rFonts w:hint="eastAsia" w:ascii="宋体" w:hAnsi="宋体" w:cs="宋体"/>
                <w:color w:val="auto"/>
                <w:kern w:val="0"/>
                <w:sz w:val="21"/>
                <w:szCs w:val="21"/>
              </w:rPr>
              <w:t>1、≥16个10/100/1000M自适应电口</w:t>
            </w:r>
          </w:p>
          <w:p>
            <w:pPr>
              <w:rPr>
                <w:rFonts w:hint="eastAsia" w:ascii="宋体" w:hAnsi="宋体" w:cs="宋体"/>
                <w:color w:val="auto"/>
                <w:kern w:val="0"/>
                <w:sz w:val="21"/>
                <w:szCs w:val="21"/>
              </w:rPr>
            </w:pPr>
            <w:r>
              <w:rPr>
                <w:rFonts w:hint="eastAsia" w:ascii="宋体" w:hAnsi="宋体" w:cs="宋体"/>
                <w:color w:val="auto"/>
                <w:kern w:val="0"/>
                <w:sz w:val="21"/>
                <w:szCs w:val="21"/>
              </w:rPr>
              <w:t>2、≥4个2.5G SFP光口</w:t>
            </w:r>
          </w:p>
          <w:p>
            <w:pPr>
              <w:rPr>
                <w:rFonts w:hint="eastAsia" w:ascii="宋体" w:hAnsi="宋体" w:cs="宋体"/>
                <w:color w:val="auto"/>
                <w:kern w:val="0"/>
                <w:sz w:val="21"/>
                <w:szCs w:val="21"/>
              </w:rPr>
            </w:pPr>
            <w:r>
              <w:rPr>
                <w:rFonts w:hint="eastAsia" w:ascii="宋体" w:hAnsi="宋体" w:cs="宋体"/>
                <w:color w:val="auto"/>
                <w:kern w:val="0"/>
                <w:sz w:val="21"/>
                <w:szCs w:val="21"/>
              </w:rPr>
              <w:t>3、支持VLAN、快速环路检测（RLDP）</w:t>
            </w:r>
          </w:p>
          <w:p>
            <w:pPr>
              <w:rPr>
                <w:rFonts w:hint="eastAsia" w:ascii="宋体" w:hAnsi="宋体" w:cs="宋体"/>
                <w:color w:val="auto"/>
                <w:kern w:val="0"/>
                <w:sz w:val="21"/>
                <w:szCs w:val="21"/>
              </w:rPr>
            </w:pPr>
            <w:r>
              <w:rPr>
                <w:rFonts w:hint="eastAsia" w:ascii="宋体" w:hAnsi="宋体" w:cs="宋体"/>
                <w:color w:val="auto"/>
                <w:kern w:val="0"/>
                <w:sz w:val="21"/>
                <w:szCs w:val="21"/>
              </w:rPr>
              <w:t>4、交换容量≥3.3Tbps，包转发率≥92M</w:t>
            </w:r>
          </w:p>
          <w:p>
            <w:pPr>
              <w:rPr>
                <w:color w:val="auto"/>
                <w:sz w:val="21"/>
                <w:szCs w:val="21"/>
              </w:rPr>
            </w:pPr>
            <w:r>
              <w:rPr>
                <w:rFonts w:hint="eastAsia" w:ascii="宋体" w:hAnsi="宋体" w:cs="宋体"/>
                <w:color w:val="auto"/>
                <w:kern w:val="0"/>
                <w:sz w:val="21"/>
                <w:szCs w:val="21"/>
              </w:rPr>
              <w:t>5. 系统集成要求：设备所需施工、安装、调试等，材料包括但不限于电源线、网线、线槽、转接头、设备安装定制机柜（可壁挂或放弱电井）等辅材。</w:t>
            </w:r>
          </w:p>
        </w:tc>
        <w:tc>
          <w:tcPr>
            <w:tcW w:w="767" w:type="dxa"/>
          </w:tcPr>
          <w:p>
            <w:pPr>
              <w:widowControl/>
              <w:jc w:val="center"/>
              <w:rPr>
                <w:color w:val="auto"/>
                <w:sz w:val="21"/>
                <w:szCs w:val="21"/>
              </w:rPr>
            </w:pPr>
            <w:r>
              <w:rPr>
                <w:rFonts w:hint="eastAsia" w:ascii="宋体" w:hAnsi="宋体" w:cs="宋体"/>
                <w:color w:val="auto"/>
                <w:kern w:val="0"/>
                <w:sz w:val="21"/>
                <w:szCs w:val="21"/>
              </w:rPr>
              <w:t>4</w:t>
            </w:r>
          </w:p>
        </w:tc>
        <w:tc>
          <w:tcPr>
            <w:tcW w:w="900" w:type="dxa"/>
          </w:tcPr>
          <w:p>
            <w:pPr>
              <w:widowControl/>
              <w:jc w:val="center"/>
              <w:rPr>
                <w:color w:val="auto"/>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工程1号楼42块LED使用</w:t>
            </w:r>
          </w:p>
        </w:tc>
        <w:tc>
          <w:tcPr>
            <w:tcW w:w="1133" w:type="dxa"/>
          </w:tcPr>
          <w:p>
            <w:pPr>
              <w:jc w:val="cente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24口接入交换机、千兆单模光模块</w:t>
            </w:r>
          </w:p>
        </w:tc>
        <w:tc>
          <w:tcPr>
            <w:tcW w:w="4811" w:type="dxa"/>
          </w:tcPr>
          <w:p>
            <w:pPr>
              <w:widowControl/>
              <w:rPr>
                <w:rFonts w:hint="eastAsia" w:ascii="宋体" w:hAnsi="宋体" w:cs="宋体"/>
                <w:color w:val="auto"/>
                <w:kern w:val="0"/>
                <w:sz w:val="21"/>
                <w:szCs w:val="21"/>
              </w:rPr>
            </w:pPr>
            <w:r>
              <w:rPr>
                <w:rFonts w:hint="eastAsia" w:ascii="宋体" w:hAnsi="宋体" w:cs="宋体"/>
                <w:color w:val="auto"/>
                <w:kern w:val="0"/>
                <w:sz w:val="21"/>
                <w:szCs w:val="21"/>
              </w:rPr>
              <w:t>一、接入终端技术要求：</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1、≥2410/100/1000M自适应电口</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2、≥4个2.5G SFP光口</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3、支持VLAN、快速环路检测（RLDP）</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4、交换容量≥3.3Tbps，包转发率≥126M</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二、光模块技术要求：</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1. 要求为SFP单模光模块；</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2. 每台交换机配置2个千兆光模块。</w:t>
            </w:r>
          </w:p>
          <w:p>
            <w:pPr>
              <w:widowControl/>
              <w:rPr>
                <w:rFonts w:ascii="宋体" w:hAnsi="宋体" w:cs="宋体"/>
                <w:color w:val="auto"/>
                <w:kern w:val="0"/>
                <w:sz w:val="21"/>
                <w:szCs w:val="21"/>
              </w:rPr>
            </w:pPr>
            <w:r>
              <w:rPr>
                <w:rFonts w:hint="eastAsia" w:ascii="宋体" w:hAnsi="宋体" w:cs="宋体"/>
                <w:color w:val="auto"/>
                <w:kern w:val="0"/>
                <w:sz w:val="21"/>
                <w:szCs w:val="21"/>
              </w:rPr>
              <w:t>三、系统集成要求：设备所需施工、安装、调试等，材料包括但不限于电源线、网线、线槽、转接头、设备安装定制机柜（可壁挂或放弱电井）等辅材。</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套</w:t>
            </w:r>
          </w:p>
        </w:tc>
        <w:tc>
          <w:tcPr>
            <w:tcW w:w="1303"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摄像机122口+屏蔽终端67+LED电子时钟55=244口</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配置12台交换机</w:t>
            </w:r>
          </w:p>
          <w:p>
            <w:pPr>
              <w:jc w:val="center"/>
              <w:rPr>
                <w:color w:val="auto"/>
                <w:sz w:val="21"/>
                <w:szCs w:val="21"/>
              </w:rPr>
            </w:pPr>
            <w:r>
              <w:rPr>
                <w:rFonts w:hint="eastAsia" w:ascii="宋体" w:hAnsi="宋体" w:cs="宋体"/>
                <w:color w:val="auto"/>
                <w:kern w:val="0"/>
                <w:sz w:val="21"/>
                <w:szCs w:val="21"/>
              </w:rPr>
              <w:t>1F-1台,2F-3台,3F-3台,4F-4台,5F-1台</w:t>
            </w:r>
          </w:p>
        </w:tc>
        <w:tc>
          <w:tcPr>
            <w:tcW w:w="1133" w:type="dxa"/>
          </w:tcPr>
          <w:p>
            <w:pPr>
              <w:jc w:val="cente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汇聚千兆交换机、万兆单模光模块</w:t>
            </w:r>
          </w:p>
        </w:tc>
        <w:tc>
          <w:tcPr>
            <w:tcW w:w="4811" w:type="dxa"/>
          </w:tcPr>
          <w:p>
            <w:pPr>
              <w:widowControl/>
              <w:rPr>
                <w:rFonts w:hint="eastAsia" w:ascii="宋体" w:hAnsi="宋体" w:cs="宋体"/>
                <w:color w:val="auto"/>
                <w:kern w:val="0"/>
                <w:sz w:val="21"/>
                <w:szCs w:val="21"/>
              </w:rPr>
            </w:pPr>
            <w:r>
              <w:rPr>
                <w:rFonts w:hint="eastAsia" w:ascii="宋体" w:hAnsi="宋体" w:cs="宋体"/>
                <w:color w:val="auto"/>
                <w:kern w:val="0"/>
                <w:sz w:val="21"/>
                <w:szCs w:val="21"/>
              </w:rPr>
              <w:t>一、汇聚交换机技术要求：</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1. 24个1000M SFP光接口（1-16口为100M/1000M SFP光接口），8个复用的10/100/1000M自适应电口，8个10G光口，管理口1个</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2. 交换容量≥13.6Tbps，包转发率≥600Mpps</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3. 支持IPV4,IPV6，支持链路保护、支持RIPv2，OSPFv2/v3，BGP4/4+，IS-ISv4/v6</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二、光模块技术要求：</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1. 要求为SFP单模 光模块；</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2. 配置2个万兆光模块。</w:t>
            </w:r>
          </w:p>
          <w:p>
            <w:pPr>
              <w:widowControl/>
              <w:rPr>
                <w:rFonts w:ascii="宋体" w:hAnsi="宋体" w:cs="宋体"/>
                <w:color w:val="auto"/>
                <w:kern w:val="0"/>
                <w:sz w:val="21"/>
                <w:szCs w:val="21"/>
              </w:rPr>
            </w:pPr>
            <w:r>
              <w:rPr>
                <w:rFonts w:hint="eastAsia" w:ascii="宋体" w:hAnsi="宋体" w:cs="宋体"/>
                <w:color w:val="auto"/>
                <w:kern w:val="0"/>
                <w:sz w:val="21"/>
                <w:szCs w:val="21"/>
              </w:rPr>
              <w:t>三、系统集成要求：设备所需施工、安装、调试等，材料包括但不限于光纤熔接、跳线、转接头等辅材。</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光电复用口8个可用于后端设备接入</w:t>
            </w:r>
          </w:p>
        </w:tc>
        <w:tc>
          <w:tcPr>
            <w:tcW w:w="1133" w:type="dxa"/>
          </w:tcPr>
          <w:p>
            <w:pPr>
              <w:jc w:val="cente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UPS电源</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1、UPS类型：单进单出双变换在线式</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2、额定容量： ≥6KVA</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3、输入电压范围： 120-276V</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4、输入频率范围： 45-55Hz</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5、输入功因： ＞0.99</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6、输出电压范围： 220V</w:t>
            </w:r>
            <w:r>
              <w:rPr>
                <w:rFonts w:hint="eastAsia" w:ascii="宋体" w:hAnsi="宋体" w:cs="宋体"/>
                <w:color w:val="auto"/>
                <w:kern w:val="0"/>
                <w:sz w:val="21"/>
                <w:szCs w:val="21"/>
              </w:rPr>
              <w:br w:type="textWrapping"/>
            </w:r>
            <w:r>
              <w:rPr>
                <w:rFonts w:hint="eastAsia" w:ascii="宋体" w:hAnsi="宋体" w:cs="宋体"/>
                <w:color w:val="auto"/>
                <w:kern w:val="0"/>
                <w:sz w:val="21"/>
                <w:szCs w:val="21"/>
              </w:rPr>
              <w:t>7、输出频率范围： 50Hz</w:t>
            </w:r>
            <w:r>
              <w:rPr>
                <w:rFonts w:hint="eastAsia" w:ascii="宋体" w:hAnsi="宋体" w:cs="宋体"/>
                <w:color w:val="auto"/>
                <w:kern w:val="0"/>
                <w:sz w:val="21"/>
                <w:szCs w:val="21"/>
              </w:rPr>
              <w:br w:type="textWrapping"/>
            </w:r>
            <w:r>
              <w:rPr>
                <w:rFonts w:hint="eastAsia" w:ascii="宋体" w:hAnsi="宋体" w:cs="宋体"/>
                <w:color w:val="auto"/>
                <w:kern w:val="0"/>
                <w:sz w:val="21"/>
                <w:szCs w:val="21"/>
              </w:rPr>
              <w:t>8、配件：含蓄电池和电池箱，提供电池容量后备时间≥1小时。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9、提供主机节能环保证书。</w:t>
            </w:r>
          </w:p>
          <w:p>
            <w:pPr>
              <w:widowControl/>
              <w:rPr>
                <w:rFonts w:ascii="宋体" w:hAnsi="宋体" w:cs="宋体"/>
                <w:color w:val="auto"/>
                <w:kern w:val="0"/>
                <w:sz w:val="21"/>
                <w:szCs w:val="21"/>
              </w:rPr>
            </w:pPr>
            <w:r>
              <w:rPr>
                <w:rFonts w:hint="eastAsia" w:ascii="宋体" w:hAnsi="宋体" w:cs="宋体"/>
                <w:color w:val="auto"/>
                <w:kern w:val="0"/>
                <w:sz w:val="21"/>
                <w:szCs w:val="21"/>
              </w:rPr>
              <w:t>1</w:t>
            </w:r>
            <w:r>
              <w:rPr>
                <w:rFonts w:ascii="宋体" w:hAnsi="宋体" w:cs="宋体"/>
                <w:color w:val="auto"/>
                <w:kern w:val="0"/>
                <w:sz w:val="21"/>
                <w:szCs w:val="21"/>
              </w:rPr>
              <w:t>0</w:t>
            </w:r>
            <w:r>
              <w:rPr>
                <w:rFonts w:hint="eastAsia" w:ascii="宋体" w:hAnsi="宋体" w:cs="宋体"/>
                <w:color w:val="auto"/>
                <w:kern w:val="0"/>
                <w:sz w:val="21"/>
                <w:szCs w:val="21"/>
              </w:rPr>
              <w:t>、系统集成要求：系统所需的施工、安装、调试等，材料包括但不限于网线、电源线、线槽、转接头、设备安装盒等辅材。</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楼栋设备间</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网络机柜</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 xml:space="preserve">1、要求为标准42U网络机柜, </w:t>
            </w:r>
          </w:p>
          <w:p>
            <w:pPr>
              <w:widowControl/>
              <w:rPr>
                <w:rFonts w:ascii="宋体" w:hAnsi="宋体" w:cs="宋体"/>
                <w:color w:val="auto"/>
                <w:kern w:val="0"/>
                <w:sz w:val="21"/>
                <w:szCs w:val="21"/>
              </w:rPr>
            </w:pPr>
            <w:r>
              <w:rPr>
                <w:rFonts w:ascii="宋体" w:hAnsi="宋体" w:cs="宋体"/>
                <w:color w:val="auto"/>
                <w:kern w:val="0"/>
                <w:sz w:val="21"/>
                <w:szCs w:val="21"/>
              </w:rPr>
              <w:t>2</w:t>
            </w:r>
            <w:r>
              <w:rPr>
                <w:rFonts w:hint="eastAsia" w:ascii="宋体" w:hAnsi="宋体" w:cs="宋体"/>
                <w:color w:val="auto"/>
                <w:kern w:val="0"/>
                <w:sz w:val="21"/>
                <w:szCs w:val="21"/>
              </w:rPr>
              <w:t>、材料：机柜采用框架焊接组装结构，最大承载：800KG</w:t>
            </w:r>
            <w:r>
              <w:rPr>
                <w:rFonts w:hint="eastAsia" w:ascii="宋体" w:hAnsi="宋体" w:cs="宋体"/>
                <w:color w:val="auto"/>
                <w:kern w:val="0"/>
                <w:sz w:val="21"/>
                <w:szCs w:val="21"/>
              </w:rPr>
              <w:br w:type="textWrapping"/>
            </w:r>
            <w:r>
              <w:rPr>
                <w:rFonts w:ascii="宋体" w:hAnsi="宋体" w:cs="宋体"/>
                <w:color w:val="auto"/>
                <w:kern w:val="0"/>
                <w:sz w:val="21"/>
                <w:szCs w:val="21"/>
              </w:rPr>
              <w:t>3</w:t>
            </w:r>
            <w:r>
              <w:rPr>
                <w:rFonts w:hint="eastAsia" w:ascii="宋体" w:hAnsi="宋体" w:cs="宋体"/>
                <w:color w:val="auto"/>
                <w:kern w:val="0"/>
                <w:sz w:val="21"/>
                <w:szCs w:val="21"/>
              </w:rPr>
              <w:t>、前后单开高密度透气网孔门，可同时满足设备保护、通风散热。两侧为快开门，方便安装和维修。</w:t>
            </w:r>
            <w:r>
              <w:rPr>
                <w:rFonts w:hint="eastAsia" w:ascii="宋体" w:hAnsi="宋体" w:cs="宋体"/>
                <w:color w:val="auto"/>
                <w:kern w:val="0"/>
                <w:sz w:val="21"/>
                <w:szCs w:val="21"/>
              </w:rPr>
              <w:br w:type="textWrapping"/>
            </w:r>
            <w:r>
              <w:rPr>
                <w:rFonts w:ascii="宋体" w:hAnsi="宋体" w:cs="宋体"/>
                <w:color w:val="auto"/>
                <w:kern w:val="0"/>
                <w:sz w:val="21"/>
                <w:szCs w:val="21"/>
              </w:rPr>
              <w:t>4</w:t>
            </w:r>
            <w:r>
              <w:rPr>
                <w:rFonts w:hint="eastAsia" w:ascii="宋体" w:hAnsi="宋体" w:cs="宋体"/>
                <w:color w:val="auto"/>
                <w:kern w:val="0"/>
                <w:sz w:val="21"/>
                <w:szCs w:val="21"/>
              </w:rPr>
              <w:t>、可关闭的上部、下部多处走线通道，底部走线通道可按需调整走线通道。</w:t>
            </w:r>
            <w:r>
              <w:rPr>
                <w:rFonts w:hint="eastAsia" w:ascii="宋体" w:hAnsi="宋体" w:cs="宋体"/>
                <w:color w:val="auto"/>
                <w:kern w:val="0"/>
                <w:sz w:val="21"/>
                <w:szCs w:val="21"/>
              </w:rPr>
              <w:br w:type="textWrapping"/>
            </w:r>
            <w:r>
              <w:rPr>
                <w:rFonts w:ascii="宋体" w:hAnsi="宋体" w:cs="宋体"/>
                <w:color w:val="auto"/>
                <w:kern w:val="0"/>
                <w:sz w:val="21"/>
                <w:szCs w:val="21"/>
              </w:rPr>
              <w:t>5</w:t>
            </w:r>
            <w:r>
              <w:rPr>
                <w:rFonts w:hint="eastAsia" w:ascii="宋体" w:hAnsi="宋体" w:cs="宋体"/>
                <w:color w:val="auto"/>
                <w:kern w:val="0"/>
                <w:sz w:val="21"/>
                <w:szCs w:val="21"/>
              </w:rPr>
              <w:t>、托盘可根据用户要求，上下自由调整，单片托盘承载可达60kg。</w:t>
            </w:r>
            <w:r>
              <w:rPr>
                <w:rFonts w:hint="eastAsia" w:ascii="宋体" w:hAnsi="宋体" w:cs="宋体"/>
                <w:color w:val="auto"/>
                <w:kern w:val="0"/>
                <w:sz w:val="21"/>
                <w:szCs w:val="21"/>
              </w:rPr>
              <w:br w:type="textWrapping"/>
            </w:r>
            <w:r>
              <w:rPr>
                <w:rFonts w:ascii="宋体" w:hAnsi="宋体" w:cs="宋体"/>
                <w:color w:val="auto"/>
                <w:kern w:val="0"/>
                <w:sz w:val="21"/>
                <w:szCs w:val="21"/>
              </w:rPr>
              <w:t>6</w:t>
            </w:r>
            <w:r>
              <w:rPr>
                <w:rFonts w:hint="eastAsia" w:ascii="宋体" w:hAnsi="宋体" w:cs="宋体"/>
                <w:color w:val="auto"/>
                <w:kern w:val="0"/>
                <w:sz w:val="21"/>
                <w:szCs w:val="21"/>
              </w:rPr>
              <w:t>、配置：3块隔板，4个风扇，四个万向脚轮，四个金属承载固定支脚，40套六角卡姆螺丝，一把内六角扳手。</w:t>
            </w:r>
            <w:r>
              <w:rPr>
                <w:rFonts w:hint="eastAsia" w:ascii="宋体" w:hAnsi="宋体" w:cs="宋体"/>
                <w:color w:val="auto"/>
                <w:kern w:val="0"/>
                <w:sz w:val="21"/>
                <w:szCs w:val="21"/>
              </w:rPr>
              <w:br w:type="textWrapping"/>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个</w:t>
            </w:r>
          </w:p>
        </w:tc>
        <w:tc>
          <w:tcPr>
            <w:tcW w:w="1303" w:type="dxa"/>
          </w:tcPr>
          <w:p>
            <w:pPr>
              <w:jc w:val="center"/>
              <w:rPr>
                <w:color w:val="auto"/>
                <w:sz w:val="21"/>
                <w:szCs w:val="21"/>
              </w:rPr>
            </w:pPr>
            <w:r>
              <w:rPr>
                <w:rFonts w:hint="eastAsia" w:ascii="宋体" w:hAnsi="宋体" w:cs="宋体"/>
                <w:color w:val="auto"/>
                <w:kern w:val="0"/>
                <w:sz w:val="21"/>
                <w:szCs w:val="21"/>
              </w:rPr>
              <w:t>楼栋设备间</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495" w:type="dxa"/>
            <w:gridSpan w:val="6"/>
            <w:vAlign w:val="center"/>
          </w:tcPr>
          <w:p>
            <w:pPr>
              <w:rPr>
                <w:color w:val="auto"/>
                <w:sz w:val="21"/>
                <w:szCs w:val="21"/>
              </w:rPr>
            </w:pPr>
            <w:r>
              <w:rPr>
                <w:rFonts w:hint="eastAsia" w:ascii="宋体" w:hAnsi="宋体" w:cs="宋体"/>
                <w:color w:val="auto"/>
                <w:kern w:val="0"/>
                <w:sz w:val="21"/>
                <w:szCs w:val="21"/>
              </w:rPr>
              <w:t>二、</w:t>
            </w:r>
            <w:bookmarkStart w:id="112" w:name="_Hlk119416285"/>
            <w:r>
              <w:rPr>
                <w:rFonts w:hint="eastAsia" w:ascii="宋体" w:hAnsi="宋体" w:cs="宋体"/>
                <w:color w:val="auto"/>
                <w:kern w:val="0"/>
                <w:sz w:val="21"/>
                <w:szCs w:val="21"/>
              </w:rPr>
              <w:t>侦测引导阻断屏蔽系统</w:t>
            </w:r>
            <w:bookmarkEnd w:id="112"/>
          </w:p>
        </w:tc>
        <w:tc>
          <w:tcPr>
            <w:tcW w:w="1133" w:type="dxa"/>
            <w:vAlign w:val="center"/>
          </w:tcPr>
          <w:p>
            <w:pP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屏蔽终端</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1、侦测引导阻断频率范围：40MHz~3000MHz（可扩展）（提供第三方机构出具的检测报告复印件并加盖公章）；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阻断能力：支持并发阻断同时出现在任意频率上的任意多的不同信号，对讲机U段、对讲机V段、无线隐形耳机、骨传导耳机、无线数字传输接收工具，电信、移动、联通等运营商2G/3G/4G/5G频段，WIFI（2.4G/5.8G）/蓝牙频段；支持同时并发阻断25路以上专业作弊器材信号（提供第三方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3、电磁辐射控制限制应符合 GB8702—2014规定；（提供第三方机构出具的检测报告复印件并加盖公章）；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4、阻断信号带宽：0.7倍作弊信号带宽≤阻断信号带宽≤5倍作弊信号带宽；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阻断效果：在6m×9m的标准化考场空间内，信号强度≤-65dBm时，能有效阻断背景场强- 50dBm以下、通透环境下的所有无线电信号；侦测引导阻断响应时间：≤300ms；</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6、同一射频单元可同时发射有效阻断信号≥4路；（提供检测机构出具的检测报告复印件并加盖公章）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7、阻断方式：针对无线电通讯中使用的公共通讯频段，实施实时阻断；针对异常信号，系统采用“侦测引导阻断”方法，在异常信号出现时发射干扰信号，异常信号小时候停止发射干扰信号；能同时对多个信号进行并发阻断；</w:t>
            </w:r>
            <w:r>
              <w:rPr>
                <w:rFonts w:hint="eastAsia" w:ascii="宋体" w:hAnsi="宋体" w:cs="宋体"/>
                <w:color w:val="auto"/>
                <w:kern w:val="0"/>
                <w:sz w:val="21"/>
                <w:szCs w:val="21"/>
              </w:rPr>
              <w:br w:type="textWrapping"/>
            </w:r>
            <w:r>
              <w:rPr>
                <w:rFonts w:hint="eastAsia" w:ascii="宋体" w:hAnsi="宋体" w:cs="宋体"/>
                <w:color w:val="auto"/>
                <w:kern w:val="0"/>
                <w:sz w:val="21"/>
                <w:szCs w:val="21"/>
              </w:rPr>
              <w:t>8、扩展性：阻断器具备扩展槽及扩展接口；数据接口：RJ45，10M/100M/1000M自适应；</w:t>
            </w:r>
            <w:r>
              <w:rPr>
                <w:rFonts w:hint="eastAsia" w:ascii="宋体" w:hAnsi="宋体" w:cs="宋体"/>
                <w:color w:val="auto"/>
                <w:kern w:val="0"/>
                <w:sz w:val="21"/>
                <w:szCs w:val="21"/>
              </w:rPr>
              <w:br w:type="textWrapping"/>
            </w:r>
            <w:r>
              <w:rPr>
                <w:rFonts w:hint="eastAsia" w:ascii="宋体" w:hAnsi="宋体" w:cs="宋体"/>
                <w:color w:val="auto"/>
                <w:kern w:val="0"/>
                <w:sz w:val="21"/>
                <w:szCs w:val="21"/>
              </w:rPr>
              <w:t>9、远程管理：支持平台远程管理，查有和官理阻断器工作状态，可接受远程开关指令，单独或整体通道开启/关闭；能够根据管理平台软件设定的考试时间自动开启/关闭设备的通道；</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10、升级管理：设备支持远程批量固件升级，通过升级固件程序扩展系统功能和性能；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11、支持平台对设备工作温度进行监控扩展；</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12、阻断器设计：</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（1）设备开关、电源接口、网络接口均采用隐蔽式设计；</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（2）绝缘外壳，整机无散热金属外露，隐蔽式定向天线阵列设计，射频模块与天线采用标准SMA接口连接;</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（3）配置专用支架，支持壁挂等多种使用场景:</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（4）设备天线采用了防腐防潮材料。</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13、阻断器内置符合国密SM1/SM2/SM3/SM4算法的安全加密芯片，支持对阻断设备进行加密，防止非法侵入、非法控制设备。</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14.</w:t>
            </w:r>
            <w:r>
              <w:rPr>
                <w:rFonts w:hint="eastAsia" w:ascii="Calibri" w:hAnsi="Calibri"/>
                <w:color w:val="auto"/>
                <w:sz w:val="21"/>
                <w:szCs w:val="21"/>
              </w:rPr>
              <w:t xml:space="preserve"> </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支持独立工作模式，在没有侦测引导的情况下，独立全频段阻断，阻断频率范围40~6000MHz（提供检测机构出具的检测报告复印件并加盖公章）；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15、支持全部阻断最新的广电频段</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(5G1 :2515-2675MHz, 5G2:3300-3600MHz,5G3:4800-5000MHz, 5G4:700^ 800MHz)</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16、支持分别以教室/楼层/楼宇为单位进行分组集中管控;</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17、设备内部天线数量≥20路；</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18、兼容静音风扇/无风扇散热系统设计，避免设备噪声造成干扰；</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19、支持远程配置阻断功率调节功能，调节级数≥36（提供检测机构出具的检测报告复印件并加盖公章）；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20、支持对部分作弊接收机内数据进行清除；</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21、采用模块化设计，便于升级维护；</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w:t>
            </w:r>
            <w:r>
              <w:rPr>
                <w:rFonts w:ascii="宋体" w:hAnsi="宋体" w:cs="宋体"/>
                <w:color w:val="auto"/>
                <w:kern w:val="0"/>
                <w:sz w:val="21"/>
                <w:szCs w:val="21"/>
              </w:rPr>
              <w:t>2</w:t>
            </w:r>
            <w:r>
              <w:rPr>
                <w:rFonts w:hint="eastAsia" w:ascii="宋体" w:hAnsi="宋体" w:cs="宋体"/>
                <w:color w:val="auto"/>
                <w:kern w:val="0"/>
                <w:sz w:val="21"/>
                <w:szCs w:val="21"/>
              </w:rPr>
              <w:t>、为保证所投产品信号使用规范，避免无线电产品信号超标产生辐射，需提供中国环境标志产品认证证书（提供证书复印件加盖公章）。</w:t>
            </w:r>
          </w:p>
          <w:p>
            <w:pPr>
              <w:widowControl/>
              <w:rPr>
                <w:rFonts w:ascii="宋体" w:hAnsi="宋体" w:cs="宋体"/>
                <w:color w:val="auto"/>
                <w:kern w:val="0"/>
                <w:sz w:val="21"/>
                <w:szCs w:val="21"/>
              </w:rPr>
            </w:pPr>
            <w:r>
              <w:rPr>
                <w:rFonts w:hint="eastAsia" w:ascii="宋体" w:hAnsi="宋体" w:cs="宋体"/>
                <w:color w:val="auto"/>
                <w:kern w:val="0"/>
                <w:sz w:val="21"/>
                <w:szCs w:val="21"/>
              </w:rPr>
              <w:t>2</w:t>
            </w:r>
            <w:r>
              <w:rPr>
                <w:rFonts w:ascii="宋体" w:hAnsi="宋体" w:cs="宋体"/>
                <w:color w:val="auto"/>
                <w:kern w:val="0"/>
                <w:sz w:val="21"/>
                <w:szCs w:val="21"/>
              </w:rPr>
              <w:t>3</w:t>
            </w:r>
            <w:r>
              <w:rPr>
                <w:rFonts w:hint="eastAsia" w:ascii="宋体" w:hAnsi="宋体" w:cs="宋体"/>
                <w:color w:val="auto"/>
                <w:kern w:val="0"/>
                <w:sz w:val="21"/>
                <w:szCs w:val="21"/>
              </w:rPr>
              <w:t>、集成要求：设备所需的施工、安装、调试等，每台屏蔽终端1根电源1根网线，材料包括但不限于电源线、网线、线槽、转接头、设备安装盒等辅材。电源设计要求：采用隐蔽式设计，避免人为破坏电源模块导致设备失效,保证设备使用的安全；要求统一集中供电，配置楼层、楼栋、总空开等。</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67</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w:t>
            </w:r>
          </w:p>
        </w:tc>
        <w:tc>
          <w:tcPr>
            <w:tcW w:w="1303" w:type="dxa"/>
          </w:tcPr>
          <w:p>
            <w:pPr>
              <w:jc w:val="center"/>
              <w:rPr>
                <w:color w:val="auto"/>
                <w:sz w:val="21"/>
                <w:szCs w:val="21"/>
              </w:rPr>
            </w:pPr>
            <w:r>
              <w:rPr>
                <w:rFonts w:hint="eastAsia" w:ascii="宋体" w:hAnsi="宋体" w:cs="宋体"/>
                <w:color w:val="auto"/>
                <w:kern w:val="0"/>
                <w:sz w:val="21"/>
                <w:szCs w:val="21"/>
              </w:rPr>
              <w:t>每个考场1台，大教室2台</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无线信号侦测器（含配件）</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1、侦测频率范围：20MHz~3000MHz（软硬件可扩展升级到9000MHz）；（提供检测机构出具的检测报告复印件并加盖公章）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2、信号捕获：支持对考点区域内无线电信号进行快速扫频，及时发现并捕获可疑的异常信号；</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3、背景频谱：支持对考点区域内常在的背景信号进行扫描和存储，通过长时间多次采集和综合，确定考点常在无线电信号范围内，作为系统工作的背景频谱；</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4、工作模式：（1）支持无人值守式侦测引导阻断工作模式，可根据考试计划进行无人智能管理；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（2）支持自动发现异常信号并引导阻断器对异常信号的阻断功能，可完成无线电信号实时侦测、可疑信号自动采集和自动引导阻断；</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（3）设备状态实时上报，支持平台远程对设备工作状态查看和管理。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5、作弊信号还原能力：（1）采用多通道设计，支持信号实时侦测和对可疑作弊信号进行采集并进行还原，信号还原对侦测和阻断无影响；</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支持包括语音(AM、 FM、16QAM、 F3E等)和数传类型(2FSK， 4FSK、 BPSK、 QPSK、 8PSK、ASK、LoRa等)的专业作弊设备信号采集和还原；（提供检测机构出具的检测报告复印件并加盖公章）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（3）支持自动保存捕获信号文件和还原内容生成，支持对语音作弊信号的实时监听。</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（4）支持对可疑作弊信号频点信息、还原信息的平台上传及管理。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w:t>
            </w:r>
            <w:r>
              <w:rPr>
                <w:rFonts w:hint="eastAsia" w:ascii="Calibri" w:hAnsi="Calibri" w:eastAsia="宋体" w:cs="Times New Roman"/>
                <w:b/>
                <w:bCs/>
                <w:color w:val="auto"/>
                <w:sz w:val="21"/>
                <w:szCs w:val="21"/>
              </w:rPr>
              <w:t>※</w:t>
            </w:r>
            <w:r>
              <w:rPr>
                <w:rFonts w:hint="eastAsia" w:ascii="宋体" w:hAnsi="宋体" w:cs="宋体"/>
                <w:color w:val="auto"/>
                <w:kern w:val="0"/>
                <w:sz w:val="21"/>
                <w:szCs w:val="21"/>
              </w:rPr>
              <w:t>侦测响应时间:≤100ms，扫频速度:≥10GHz/Sec@10KHz  RBW ，侦测频率精度≤1KHz，侦测灵敏度≤-110dBm，侦测动态范围≥100dB，最大接收功率≥20dBm；（提供检测机构出具的检测报告复印件并加盖公章）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7、实时监听能力：整套系统具备主流作弊设备实时还原能力，对于语音作弊信号能进行实时监听。</w:t>
            </w:r>
            <w:r>
              <w:rPr>
                <w:rFonts w:hint="eastAsia" w:ascii="宋体" w:hAnsi="宋体" w:cs="宋体"/>
                <w:color w:val="auto"/>
                <w:kern w:val="0"/>
                <w:sz w:val="21"/>
                <w:szCs w:val="21"/>
              </w:rPr>
              <w:br w:type="textWrapping"/>
            </w:r>
            <w:r>
              <w:rPr>
                <w:rFonts w:hint="eastAsia" w:ascii="宋体" w:hAnsi="宋体" w:cs="宋体"/>
                <w:color w:val="auto"/>
                <w:kern w:val="0"/>
                <w:sz w:val="21"/>
                <w:szCs w:val="21"/>
              </w:rPr>
              <w:t>8、黑白名单功能，设置黑名单时对应黑名单信号一旦出现即优先引导阻断，用户可根据考务等工作需要设置白名单频点(频段)，使其通信不受，系统影响;黑白名单库支持手工编辑、上级平台下发；</w:t>
            </w:r>
            <w:r>
              <w:rPr>
                <w:rFonts w:hint="eastAsia" w:ascii="宋体" w:hAnsi="宋体" w:cs="宋体"/>
                <w:color w:val="auto"/>
                <w:kern w:val="0"/>
                <w:sz w:val="21"/>
                <w:szCs w:val="21"/>
              </w:rPr>
              <w:br w:type="textWrapping"/>
            </w:r>
            <w:r>
              <w:rPr>
                <w:rFonts w:hint="eastAsia" w:ascii="宋体" w:hAnsi="宋体" w:cs="宋体"/>
                <w:color w:val="auto"/>
                <w:kern w:val="0"/>
                <w:sz w:val="21"/>
                <w:szCs w:val="21"/>
              </w:rPr>
              <w:t>9、数据接口：RJ45，10M/100M/1000M自适应；</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10、可靠性：持续工作时间7*24小时；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11、工作环境温度：-20℃~ +55℃。相对湿度：20%-80%（无凝露）；</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12、可自动呈现所有作弊信号特征，包括信号类型(语音或数传)、出现时间、考试场次、出现时的频点等;</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13、为保证所投产品信号使用规范，避免无线电产品信号超标产生辐射，需提供中国环境标志产品认证证书（提供证书复印件加盖公章）；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14、具备无线电作弊信号识别软件、FSK作弊信号处理软件；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15、具有国家强制性产品认证（3C认证）证书。</w:t>
            </w:r>
          </w:p>
          <w:p>
            <w:pPr>
              <w:widowControl/>
              <w:rPr>
                <w:rFonts w:ascii="宋体" w:hAnsi="宋体" w:cs="宋体"/>
                <w:color w:val="auto"/>
                <w:kern w:val="0"/>
                <w:sz w:val="21"/>
                <w:szCs w:val="21"/>
              </w:rPr>
            </w:pPr>
            <w:r>
              <w:rPr>
                <w:rFonts w:hint="eastAsia" w:ascii="宋体" w:hAnsi="宋体" w:cs="宋体"/>
                <w:color w:val="auto"/>
                <w:kern w:val="0"/>
                <w:sz w:val="21"/>
                <w:szCs w:val="21"/>
              </w:rPr>
              <w:t>1</w:t>
            </w:r>
            <w:r>
              <w:rPr>
                <w:rFonts w:ascii="宋体" w:hAnsi="宋体" w:cs="宋体"/>
                <w:color w:val="auto"/>
                <w:kern w:val="0"/>
                <w:sz w:val="21"/>
                <w:szCs w:val="21"/>
              </w:rPr>
              <w:t>6</w:t>
            </w:r>
            <w:r>
              <w:rPr>
                <w:rFonts w:hint="eastAsia" w:ascii="宋体" w:hAnsi="宋体" w:cs="宋体"/>
                <w:color w:val="auto"/>
                <w:kern w:val="0"/>
                <w:sz w:val="21"/>
                <w:szCs w:val="21"/>
              </w:rPr>
              <w:t>、系统集成要求：系统所需的施工、安装、调试等，材料包括但不限于网线、电源线、线槽、转接头、设备安装盒等辅材。</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每个考点1套，安装在机柜中</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作弊防控系统管理平台</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1、设备管理功能：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（1）支持对系统设备进行查询、增加、删除、远程开关、固件升级等操作;可按照实际考场管理方式对设备进行远程管理;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（2）系统平台设置考试计划，即开机时间和关机时间，所有阻断器将自动开启或者自动关闭;</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（3）可实现对系统设备的IP地址、工作状态、教室位置、分组情况、在线状态、MAC地址、版本等信息的查询和管理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（4）按照教育考试实际机构、虛拟机构进行单级和多级管理，并兼容网上巡查域名管理。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2、信号管理功能：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（1）可自动呈现所有作弊信号特征，包括信号类型(语音或数传)、出现时间、考试场次、出现时的频点等;</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（2）提供已还原的语音和数传类作弊器材发射信号内容的回放、查看、记录、查询、下载、统计功能;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（3）不影响阻断效果的情况下，对作弊语音信号监听内容进行保存取证;</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（4）黑白名单功能，设置黑名单时对应黑名单信号一旦出现即优先引导阻断，用户可根据考务等工作需要设置白名单频点(频段)，使其通信不受系统影响;黑白名单库支持手工编辑、上级平台下发;</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（5）支持语音、数传等信号的自动解调;</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（6）支持语音、数传等解调后信号文件的自动上传。</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3、多级互联功能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（1）考试管理:支持智能化、自动化考试模式管理</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（2）系统可根据考试计划实现无人值守式管理，也支持人工操作模式。</w:t>
            </w:r>
            <w:r>
              <w:rPr>
                <w:rFonts w:hint="eastAsia" w:ascii="宋体" w:hAnsi="宋体" w:cs="宋体"/>
                <w:color w:val="auto"/>
                <w:kern w:val="0"/>
                <w:sz w:val="21"/>
                <w:szCs w:val="21"/>
              </w:rPr>
              <w:br w:type="textWrapping"/>
            </w:r>
            <w:r>
              <w:rPr>
                <w:rFonts w:hint="eastAsia" w:ascii="宋体" w:hAnsi="宋体" w:cs="宋体"/>
                <w:color w:val="auto"/>
                <w:kern w:val="0"/>
                <w:sz w:val="21"/>
                <w:szCs w:val="21"/>
              </w:rPr>
              <w:t>4、权限日志：</w:t>
            </w:r>
            <w:r>
              <w:rPr>
                <w:rFonts w:hint="eastAsia" w:ascii="宋体" w:hAnsi="宋体" w:cs="宋体"/>
                <w:color w:val="auto"/>
                <w:kern w:val="0"/>
                <w:sz w:val="21"/>
                <w:szCs w:val="21"/>
              </w:rPr>
              <w:br w:type="textWrapping"/>
            </w:r>
            <w:r>
              <w:rPr>
                <w:rFonts w:hint="eastAsia" w:ascii="宋体" w:hAnsi="宋体" w:cs="宋体"/>
                <w:color w:val="auto"/>
                <w:kern w:val="0"/>
                <w:sz w:val="21"/>
                <w:szCs w:val="21"/>
              </w:rPr>
              <w:t>（1）系统具备密码登录、用户权限设置维护等功能;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（2）系统具备用户/管理员操作日志记录、查询、导出等功能。</w:t>
            </w:r>
            <w:r>
              <w:rPr>
                <w:rFonts w:hint="eastAsia" w:ascii="宋体" w:hAnsi="宋体" w:cs="宋体"/>
                <w:color w:val="auto"/>
                <w:kern w:val="0"/>
                <w:sz w:val="21"/>
                <w:szCs w:val="21"/>
              </w:rPr>
              <w:br w:type="textWrapping"/>
            </w:r>
            <w:r>
              <w:rPr>
                <w:rFonts w:hint="eastAsia" w:ascii="宋体" w:hAnsi="宋体" w:cs="宋体"/>
                <w:color w:val="auto"/>
                <w:kern w:val="0"/>
                <w:sz w:val="21"/>
                <w:szCs w:val="21"/>
              </w:rPr>
              <w:t>5、配备作弊防控系统管理软件；</w:t>
            </w:r>
            <w:r>
              <w:rPr>
                <w:rFonts w:hint="eastAsia" w:ascii="宋体" w:hAnsi="宋体" w:cs="宋体"/>
                <w:color w:val="auto"/>
                <w:kern w:val="0"/>
                <w:sz w:val="21"/>
                <w:szCs w:val="21"/>
              </w:rPr>
              <w:br w:type="textWrapping"/>
            </w:r>
            <w:r>
              <w:rPr>
                <w:rFonts w:hint="eastAsia" w:ascii="宋体" w:hAnsi="宋体" w:cs="宋体"/>
                <w:color w:val="auto"/>
                <w:kern w:val="0"/>
                <w:sz w:val="21"/>
                <w:szCs w:val="21"/>
              </w:rPr>
              <w:t>6、系统集成要求：系统所需的施工、安装、调试等，材料包括但不限于网线、电源线、线槽、转接头、设备安装盒等辅材。</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每个考点1套，安装在机柜中</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vAlign w:val="top"/>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1076" w:type="dxa"/>
            <w:vAlign w:val="top"/>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网络智能开关</w:t>
            </w:r>
          </w:p>
        </w:tc>
        <w:tc>
          <w:tcPr>
            <w:tcW w:w="4811" w:type="dxa"/>
            <w:vAlign w:val="center"/>
          </w:tcPr>
          <w:p>
            <w:pPr>
              <w:widowControl/>
              <w:jc w:val="left"/>
              <w:rPr>
                <w:rFonts w:ascii="宋体" w:hAnsi="宋体" w:cs="宋体"/>
                <w:color w:val="auto"/>
                <w:kern w:val="0"/>
                <w:sz w:val="21"/>
                <w:szCs w:val="21"/>
              </w:rPr>
            </w:pPr>
            <w:r>
              <w:rPr>
                <w:rFonts w:hint="eastAsia" w:ascii="宋体" w:hAnsi="宋体" w:cs="宋体"/>
                <w:color w:val="auto"/>
                <w:kern w:val="0"/>
                <w:sz w:val="21"/>
                <w:szCs w:val="21"/>
              </w:rPr>
              <w:t>1、网络控制电源管理设备，极数 ≥2P</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2、额定电压交流：220V 50HZ，</w:t>
            </w:r>
            <w:r>
              <w:rPr>
                <w:rFonts w:hint="eastAsia" w:ascii="宋体" w:hAnsi="宋体" w:cs="宋体"/>
                <w:color w:val="auto"/>
                <w:kern w:val="0"/>
                <w:sz w:val="21"/>
                <w:szCs w:val="21"/>
              </w:rPr>
              <w:br w:type="textWrapping"/>
            </w:r>
            <w:r>
              <w:rPr>
                <w:rFonts w:hint="eastAsia" w:ascii="宋体" w:hAnsi="宋体" w:cs="宋体"/>
                <w:color w:val="auto"/>
                <w:kern w:val="0"/>
                <w:sz w:val="21"/>
                <w:szCs w:val="21"/>
              </w:rPr>
              <w:t>3、额定总输出功率≥10000W。额定电流≥63A,</w:t>
            </w:r>
            <w:r>
              <w:rPr>
                <w:rFonts w:hint="eastAsia" w:ascii="宋体" w:hAnsi="宋体" w:cs="宋体"/>
                <w:color w:val="auto"/>
                <w:kern w:val="0"/>
                <w:sz w:val="21"/>
                <w:szCs w:val="21"/>
              </w:rPr>
              <w:br w:type="textWrapping"/>
            </w:r>
            <w:r>
              <w:rPr>
                <w:rFonts w:hint="eastAsia" w:ascii="宋体" w:hAnsi="宋体" w:cs="宋体"/>
                <w:color w:val="auto"/>
                <w:kern w:val="0"/>
                <w:sz w:val="21"/>
                <w:szCs w:val="21"/>
                <w:lang w:val="en-US" w:eastAsia="zh-CN"/>
              </w:rPr>
              <w:t>4</w:t>
            </w:r>
            <w:r>
              <w:rPr>
                <w:rFonts w:hint="eastAsia" w:ascii="宋体" w:hAnsi="宋体" w:cs="宋体"/>
                <w:color w:val="auto"/>
                <w:kern w:val="0"/>
                <w:sz w:val="21"/>
                <w:szCs w:val="21"/>
              </w:rPr>
              <w:t>、集成要求：设备所需的施工、安装、调试等，材料包括但不限于电源线、网线、线槽、转接头、设备安装盒等辅材。</w:t>
            </w:r>
            <w:r>
              <w:rPr>
                <w:rFonts w:hint="eastAsia" w:ascii="宋体" w:hAnsi="宋体" w:cs="宋体"/>
                <w:color w:val="auto"/>
                <w:kern w:val="0"/>
                <w:sz w:val="21"/>
                <w:szCs w:val="21"/>
              </w:rPr>
              <w:br w:type="textWrapping"/>
            </w:r>
            <w:r>
              <w:rPr>
                <w:rFonts w:hint="eastAsia" w:ascii="宋体" w:hAnsi="宋体" w:cs="宋体"/>
                <w:color w:val="auto"/>
                <w:kern w:val="0"/>
                <w:sz w:val="21"/>
                <w:szCs w:val="21"/>
                <w:lang w:val="en-US" w:eastAsia="zh-CN"/>
              </w:rPr>
              <w:t>5</w:t>
            </w:r>
            <w:r>
              <w:rPr>
                <w:rFonts w:hint="eastAsia" w:ascii="宋体" w:hAnsi="宋体" w:cs="宋体"/>
                <w:color w:val="auto"/>
                <w:kern w:val="0"/>
                <w:sz w:val="21"/>
                <w:szCs w:val="21"/>
              </w:rPr>
              <w:t>、提供产品功能彩页加盖公章。</w:t>
            </w:r>
          </w:p>
          <w:p>
            <w:pPr>
              <w:widowControl/>
              <w:jc w:val="left"/>
              <w:rPr>
                <w:rFonts w:ascii="宋体" w:hAnsi="宋体" w:cs="宋体"/>
                <w:color w:val="auto"/>
                <w:kern w:val="0"/>
                <w:sz w:val="21"/>
                <w:szCs w:val="21"/>
              </w:rPr>
            </w:pPr>
            <w:r>
              <w:rPr>
                <w:rFonts w:hint="eastAsia" w:ascii="宋体" w:hAnsi="宋体" w:cs="宋体"/>
                <w:color w:val="auto"/>
                <w:kern w:val="0"/>
                <w:sz w:val="21"/>
                <w:szCs w:val="21"/>
                <w:lang w:val="en-US" w:eastAsia="zh-CN"/>
              </w:rPr>
              <w:t>6</w:t>
            </w:r>
            <w:r>
              <w:rPr>
                <w:rFonts w:hint="eastAsia" w:ascii="宋体" w:hAnsi="宋体" w:cs="宋体"/>
                <w:color w:val="auto"/>
                <w:kern w:val="0"/>
                <w:sz w:val="21"/>
                <w:szCs w:val="21"/>
              </w:rPr>
              <w:t>、系统集成要求：系统所需的施工、安装、调试等，材料包括但不限于网线、电源线、线槽、转接头、设备安装盒等辅材。</w:t>
            </w:r>
          </w:p>
        </w:tc>
        <w:tc>
          <w:tcPr>
            <w:tcW w:w="767" w:type="dxa"/>
            <w:vAlign w:val="top"/>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900" w:type="dxa"/>
            <w:vAlign w:val="top"/>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w:t>
            </w:r>
          </w:p>
        </w:tc>
        <w:tc>
          <w:tcPr>
            <w:tcW w:w="1303" w:type="dxa"/>
          </w:tcPr>
          <w:p>
            <w:pPr>
              <w:jc w:val="center"/>
              <w:rPr>
                <w:color w:val="auto"/>
                <w:sz w:val="21"/>
                <w:szCs w:val="21"/>
              </w:rPr>
            </w:pPr>
            <w:r>
              <w:rPr>
                <w:rFonts w:hint="eastAsia" w:ascii="宋体" w:hAnsi="宋体" w:cs="宋体"/>
                <w:color w:val="auto"/>
                <w:kern w:val="0"/>
                <w:sz w:val="21"/>
                <w:szCs w:val="21"/>
              </w:rPr>
              <w:t>工2楼、教7楼屏蔽系统取电汇总各1台</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495" w:type="dxa"/>
            <w:gridSpan w:val="6"/>
            <w:vAlign w:val="center"/>
          </w:tcPr>
          <w:p>
            <w:pPr>
              <w:rPr>
                <w:color w:val="auto"/>
                <w:sz w:val="21"/>
                <w:szCs w:val="21"/>
              </w:rPr>
            </w:pPr>
            <w:r>
              <w:rPr>
                <w:rFonts w:hint="eastAsia" w:ascii="宋体" w:hAnsi="宋体" w:cs="宋体"/>
                <w:color w:val="auto"/>
                <w:kern w:val="0"/>
                <w:sz w:val="21"/>
                <w:szCs w:val="21"/>
              </w:rPr>
              <w:t>三、纯屏蔽系统</w:t>
            </w:r>
          </w:p>
        </w:tc>
        <w:tc>
          <w:tcPr>
            <w:tcW w:w="1133" w:type="dxa"/>
            <w:vAlign w:val="center"/>
          </w:tcPr>
          <w:p>
            <w:pP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手机信号屏蔽终端</w:t>
            </w:r>
          </w:p>
        </w:tc>
        <w:tc>
          <w:tcPr>
            <w:tcW w:w="4811" w:type="dxa"/>
          </w:tcPr>
          <w:p>
            <w:pPr>
              <w:widowControl/>
              <w:rPr>
                <w:rFonts w:ascii="宋体" w:hAnsi="宋体" w:cs="宋体"/>
                <w:color w:val="auto"/>
                <w:kern w:val="0"/>
                <w:sz w:val="21"/>
                <w:szCs w:val="21"/>
              </w:rPr>
            </w:pPr>
            <w:r>
              <w:rPr>
                <w:rFonts w:hint="eastAsia" w:ascii="宋体" w:hAnsi="宋体" w:cs="宋体"/>
                <w:color w:val="auto"/>
                <w:kern w:val="0"/>
                <w:sz w:val="21"/>
                <w:szCs w:val="21"/>
              </w:rPr>
              <w:t>1、手机信号屏蔽器，可在10-150平米内屏蔽GSM频段（925MHz-960MHz）、CDMA频段（865MHz-894MHz）、DCS频段（1805MHz-1920MHz）、3G频段（2010MHz-2170MHz）、4G-D/WIFI频段（2300MHz-2485MHz）、4G-E频段（2500MHz-2675MHz）、4G-F频段（1805MHz-1920MHz）、PHS频段（1805MHz-1920MHz）、5G1频段（3300MHz-3600MHz）、5G2频段（4800MHz-4900MHz）、广电5G频段（750MHz-805MHz）。</w:t>
            </w:r>
            <w:r>
              <w:rPr>
                <w:rFonts w:hint="eastAsia" w:ascii="宋体" w:hAnsi="宋体" w:cs="宋体"/>
                <w:color w:val="auto"/>
                <w:kern w:val="0"/>
                <w:sz w:val="21"/>
                <w:szCs w:val="21"/>
              </w:rPr>
              <w:br w:type="textWrapping"/>
            </w:r>
            <w:r>
              <w:rPr>
                <w:rFonts w:hint="eastAsia" w:ascii="宋体" w:hAnsi="宋体" w:cs="宋体"/>
                <w:color w:val="auto"/>
                <w:kern w:val="0"/>
                <w:sz w:val="21"/>
                <w:szCs w:val="21"/>
              </w:rPr>
              <w:t>2、手机离开屏蔽范围即可恢复正常使用，且该产品对人体无任何损害。</w:t>
            </w:r>
          </w:p>
          <w:p>
            <w:pPr>
              <w:widowControl/>
              <w:rPr>
                <w:rFonts w:ascii="宋体" w:hAnsi="宋体" w:cs="宋体"/>
                <w:color w:val="auto"/>
                <w:kern w:val="0"/>
                <w:sz w:val="21"/>
                <w:szCs w:val="21"/>
              </w:rPr>
            </w:pPr>
            <w:r>
              <w:rPr>
                <w:rFonts w:hint="eastAsia" w:ascii="宋体" w:hAnsi="宋体" w:cs="宋体"/>
                <w:color w:val="auto"/>
                <w:kern w:val="0"/>
                <w:sz w:val="21"/>
                <w:szCs w:val="21"/>
              </w:rPr>
              <w:t>3、系统集成要求：系统所需的施工、安装、调试等，材料包括但不限于网线、电源线、线槽、转接头、设备安装盒等辅材。</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66</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w:t>
            </w:r>
          </w:p>
        </w:tc>
        <w:tc>
          <w:tcPr>
            <w:tcW w:w="1303" w:type="dxa"/>
          </w:tcPr>
          <w:p>
            <w:pPr>
              <w:jc w:val="center"/>
              <w:rPr>
                <w:color w:val="auto"/>
                <w:sz w:val="21"/>
                <w:szCs w:val="21"/>
              </w:rPr>
            </w:pPr>
            <w:r>
              <w:rPr>
                <w:rFonts w:hint="eastAsia" w:ascii="宋体" w:hAnsi="宋体" w:cs="宋体"/>
                <w:color w:val="auto"/>
                <w:kern w:val="0"/>
                <w:sz w:val="21"/>
                <w:szCs w:val="21"/>
              </w:rPr>
              <w:t>每个考场1台，大教室两台，包含教7楼60间有6间大教室</w:t>
            </w:r>
          </w:p>
        </w:tc>
        <w:tc>
          <w:tcPr>
            <w:tcW w:w="1133" w:type="dxa"/>
          </w:tcPr>
          <w:p>
            <w:pPr>
              <w:jc w:val="center"/>
              <w:rPr>
                <w:rFonts w:hint="eastAsia" w:ascii="宋体" w:hAnsi="宋体" w:cs="宋体"/>
                <w:b/>
                <w:bCs/>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495" w:type="dxa"/>
            <w:gridSpan w:val="6"/>
            <w:vAlign w:val="center"/>
          </w:tcPr>
          <w:p>
            <w:pPr>
              <w:rPr>
                <w:color w:val="auto"/>
                <w:sz w:val="21"/>
                <w:szCs w:val="21"/>
              </w:rPr>
            </w:pPr>
            <w:r>
              <w:rPr>
                <w:rFonts w:hint="eastAsia" w:ascii="宋体" w:hAnsi="宋体" w:cs="宋体"/>
                <w:color w:val="auto"/>
                <w:kern w:val="0"/>
                <w:sz w:val="21"/>
                <w:szCs w:val="21"/>
              </w:rPr>
              <w:t>四、考务指挥中心对接服务</w:t>
            </w:r>
          </w:p>
        </w:tc>
        <w:tc>
          <w:tcPr>
            <w:tcW w:w="1133" w:type="dxa"/>
            <w:vAlign w:val="center"/>
          </w:tcPr>
          <w:p>
            <w:pPr>
              <w:rPr>
                <w:rFonts w:hint="eastAsia"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1076"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考务指挥中心对接服务</w:t>
            </w:r>
          </w:p>
        </w:tc>
        <w:tc>
          <w:tcPr>
            <w:tcW w:w="4811" w:type="dxa"/>
          </w:tcPr>
          <w:p>
            <w:pPr>
              <w:widowControl/>
              <w:rPr>
                <w:rFonts w:hint="eastAsia" w:ascii="宋体" w:hAnsi="宋体" w:cs="宋体"/>
                <w:color w:val="auto"/>
                <w:kern w:val="0"/>
                <w:sz w:val="21"/>
                <w:szCs w:val="21"/>
              </w:rPr>
            </w:pPr>
            <w:r>
              <w:rPr>
                <w:rFonts w:hint="eastAsia" w:ascii="宋体" w:hAnsi="宋体" w:cs="宋体"/>
                <w:color w:val="auto"/>
                <w:kern w:val="0"/>
                <w:sz w:val="21"/>
                <w:szCs w:val="21"/>
              </w:rPr>
              <w:t>1、定制服务，根据实际情况将学校已建一期考场系统（教2和教3）与湖北省考试院、国家教育部等各级考务指挥中心实现多级SIP注册对接联通；</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2、内容包含所需的定制开发软件及配套硬件；</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3、服务要求系统采用linux系统，本身具有抗病毒和抗攻击能力，避免遭受病毒攻击，确保平台能够长期稳定运行；</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4、可接入学校现有大华监控品牌网络摄像机；</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5、集成SIP注册认证、视频转码及转发、设备接入管理功能，支持与上级巡查系统对接；</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6、SIP注册认证：具有巡查前端设备及巡查客户端用户注册认证功能；</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7、视频转码：支持将前端的摄像机视频流转换为符合国家教育考试网上巡查系统视频标准技术规范的视频流，支持将转码后的视音频信号向上级平台进行转发；</w:t>
            </w:r>
          </w:p>
          <w:p>
            <w:pPr>
              <w:widowControl/>
              <w:rPr>
                <w:rFonts w:hint="eastAsia" w:ascii="宋体" w:hAnsi="宋体" w:cs="宋体"/>
                <w:color w:val="auto"/>
                <w:kern w:val="0"/>
                <w:sz w:val="21"/>
                <w:szCs w:val="21"/>
              </w:rPr>
            </w:pPr>
            <w:r>
              <w:rPr>
                <w:rFonts w:hint="eastAsia" w:ascii="宋体" w:hAnsi="宋体" w:cs="宋体"/>
                <w:color w:val="auto"/>
                <w:kern w:val="0"/>
                <w:sz w:val="21"/>
                <w:szCs w:val="21"/>
              </w:rPr>
              <w:t>8、视频转发：支持将转码后的视音频信号向上级巡查平台进行转发；</w:t>
            </w:r>
          </w:p>
          <w:p>
            <w:pPr>
              <w:widowControl/>
              <w:rPr>
                <w:rFonts w:ascii="宋体" w:hAnsi="宋体" w:cs="宋体"/>
                <w:color w:val="auto"/>
                <w:kern w:val="0"/>
                <w:sz w:val="21"/>
                <w:szCs w:val="21"/>
              </w:rPr>
            </w:pPr>
            <w:r>
              <w:rPr>
                <w:rFonts w:hint="eastAsia" w:ascii="宋体" w:hAnsi="宋体" w:cs="宋体"/>
                <w:color w:val="auto"/>
                <w:kern w:val="0"/>
                <w:sz w:val="21"/>
                <w:szCs w:val="21"/>
              </w:rPr>
              <w:t>9、系统支持每路2Mbps码流下可转32路1080P视频。</w:t>
            </w:r>
          </w:p>
        </w:tc>
        <w:tc>
          <w:tcPr>
            <w:tcW w:w="767"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900" w:type="dxa"/>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套</w:t>
            </w:r>
          </w:p>
        </w:tc>
        <w:tc>
          <w:tcPr>
            <w:tcW w:w="1303" w:type="dxa"/>
          </w:tcPr>
          <w:p>
            <w:pPr>
              <w:jc w:val="center"/>
              <w:rPr>
                <w:color w:val="auto"/>
                <w:sz w:val="21"/>
                <w:szCs w:val="21"/>
              </w:rPr>
            </w:pPr>
            <w:r>
              <w:rPr>
                <w:rFonts w:hint="eastAsia" w:ascii="宋体" w:hAnsi="宋体" w:cs="宋体"/>
                <w:color w:val="auto"/>
                <w:kern w:val="0"/>
                <w:sz w:val="21"/>
                <w:szCs w:val="21"/>
              </w:rPr>
              <w:t>包含所需的定制开发软件及配套硬件</w:t>
            </w:r>
          </w:p>
        </w:tc>
        <w:tc>
          <w:tcPr>
            <w:tcW w:w="1133" w:type="dxa"/>
          </w:tcPr>
          <w:p>
            <w:pPr>
              <w:jc w:val="center"/>
              <w:rPr>
                <w:rFonts w:hint="eastAsia" w:ascii="宋体" w:hAnsi="宋体" w:cs="宋体"/>
                <w:color w:val="auto"/>
                <w:kern w:val="0"/>
                <w:sz w:val="21"/>
                <w:szCs w:val="21"/>
              </w:rPr>
            </w:pPr>
            <w:r>
              <w:rPr>
                <w:rFonts w:hint="eastAsia"/>
                <w:b/>
                <w:bCs/>
                <w:color w:val="2A20DC"/>
              </w:rPr>
              <w:t>专门面向中小微企业</w:t>
            </w:r>
            <w:r>
              <w:rPr>
                <w:rFonts w:hint="eastAsia" w:eastAsia="宋体"/>
                <w:b/>
                <w:bCs/>
                <w:color w:val="2A20DC"/>
                <w:lang w:eastAsia="zh-CN"/>
              </w:rPr>
              <w:t>，须</w:t>
            </w:r>
            <w:r>
              <w:rPr>
                <w:rFonts w:hint="eastAsia" w:asciiTheme="minorEastAsia" w:hAnsiTheme="minorEastAsia" w:eastAsiaTheme="minorEastAsia" w:cstheme="minorEastAsia"/>
                <w:b/>
                <w:bCs/>
                <w:color w:val="2A20DC"/>
                <w:lang w:val="zh-CN"/>
              </w:rPr>
              <w:t>提供中小</w:t>
            </w:r>
            <w:r>
              <w:rPr>
                <w:rFonts w:hint="eastAsia"/>
                <w:b/>
                <w:bCs/>
                <w:color w:val="2A20DC"/>
              </w:rPr>
              <w:t>微</w:t>
            </w:r>
            <w:r>
              <w:rPr>
                <w:rFonts w:hint="eastAsia" w:asciiTheme="minorEastAsia" w:hAnsiTheme="minorEastAsia" w:eastAsiaTheme="minorEastAsia" w:cstheme="minorEastAsia"/>
                <w:b/>
                <w:bCs/>
                <w:color w:val="2A20DC"/>
                <w:lang w:val="zh-CN"/>
              </w:rPr>
              <w:t>企业声明函</w:t>
            </w:r>
          </w:p>
        </w:tc>
      </w:tr>
    </w:tbl>
    <w:p>
      <w:pPr>
        <w:autoSpaceDE w:val="0"/>
        <w:autoSpaceDN w:val="0"/>
        <w:adjustRightInd w:val="0"/>
        <w:spacing w:line="360" w:lineRule="auto"/>
        <w:rPr>
          <w:rFonts w:asciiTheme="minorEastAsia" w:hAnsiTheme="minorEastAsia" w:eastAsiaTheme="minorEastAsia" w:cstheme="minorEastAsia"/>
          <w:color w:val="auto"/>
          <w:szCs w:val="21"/>
        </w:rPr>
      </w:pP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strike/>
          <w:dstrike w:val="0"/>
          <w:color w:val="auto"/>
        </w:rPr>
      </w:pPr>
      <w:r>
        <w:rPr>
          <w:rFonts w:hint="eastAsia" w:asciiTheme="minorEastAsia" w:hAnsiTheme="minorEastAsia" w:eastAsiaTheme="minorEastAsia" w:cstheme="minorEastAsia"/>
          <w:color w:val="auto"/>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3.本项目磋商文件中标注“★”的条款不允许负偏离，负偏离视为无效响应文件。</w:t>
      </w:r>
      <w:bookmarkStart w:id="113" w:name="_Hlk119420760"/>
    </w:p>
    <w:p>
      <w:pPr>
        <w:autoSpaceDE w:val="0"/>
        <w:autoSpaceDN w:val="0"/>
        <w:adjustRightInd w:val="0"/>
        <w:spacing w:line="360" w:lineRule="auto"/>
        <w:rPr>
          <w:rFonts w:ascii="宋体" w:hAnsi="宋体" w:cs="宋体"/>
          <w:color w:val="auto"/>
          <w:szCs w:val="21"/>
        </w:rPr>
      </w:pPr>
      <w:r>
        <w:rPr>
          <w:rFonts w:hint="eastAsia" w:ascii="宋体" w:hAnsi="宋体" w:cs="宋体"/>
          <w:color w:val="auto"/>
          <w:szCs w:val="21"/>
          <w:lang w:eastAsia="zh-CN"/>
        </w:rPr>
        <w:t>★4.标准化考场建设项目是国家教育考试标准化考场专项服务项目，项目建设须符合《国家教育考试网上巡查系统视频标准技术规范（2017版）》、《国家教育考试作弊防控系统无线电屏蔽技术规范》标准要求，对标《湖北省国家教育考试标准化考点建设指南》(2019版)的相关要求，所建系统能实现与</w:t>
      </w:r>
      <w:r>
        <w:rPr>
          <w:rFonts w:hint="eastAsia" w:ascii="宋体" w:hAnsi="宋体" w:cs="宋体"/>
          <w:color w:val="auto"/>
          <w:szCs w:val="21"/>
          <w:lang w:val="en-US" w:eastAsia="zh-CN"/>
        </w:rPr>
        <w:t>教育部考试中心、湖北省考试院</w:t>
      </w:r>
      <w:r>
        <w:rPr>
          <w:rFonts w:hint="eastAsia" w:ascii="宋体" w:hAnsi="宋体" w:cs="宋体"/>
          <w:color w:val="auto"/>
          <w:szCs w:val="21"/>
          <w:lang w:eastAsia="zh-CN"/>
        </w:rPr>
        <w:t>考务指挥中心互联互通。投标人所投标准化考点产品制造商具有联通成功的案例经验，为保证项目的正常交付，提供标准化考点</w:t>
      </w:r>
      <w:r>
        <w:rPr>
          <w:rFonts w:hint="eastAsia" w:ascii="宋体" w:hAnsi="宋体" w:cs="宋体"/>
          <w:color w:val="auto"/>
          <w:szCs w:val="21"/>
          <w:highlight w:val="none"/>
          <w:lang w:eastAsia="zh-CN"/>
        </w:rPr>
        <w:t>产品</w:t>
      </w:r>
      <w:r>
        <w:rPr>
          <w:rFonts w:hint="eastAsia" w:ascii="宋体" w:hAnsi="宋体" w:cs="宋体"/>
          <w:color w:val="auto"/>
          <w:szCs w:val="21"/>
          <w:lang w:eastAsia="zh-CN"/>
        </w:rPr>
        <w:t>（半球摄像机、网络硬盘录像机、屏蔽终端）所投产品制造商具有网上巡查系统和侦测引导阻断屏蔽系统校级</w:t>
      </w:r>
      <w:r>
        <w:rPr>
          <w:rFonts w:hint="eastAsia" w:ascii="宋体" w:hAnsi="宋体" w:cs="宋体"/>
          <w:color w:val="auto"/>
          <w:szCs w:val="21"/>
          <w:lang w:val="en-US" w:eastAsia="zh-CN"/>
        </w:rPr>
        <w:t>平台</w:t>
      </w:r>
      <w:r>
        <w:rPr>
          <w:rFonts w:hint="eastAsia" w:ascii="宋体" w:hAnsi="宋体" w:cs="宋体"/>
          <w:color w:val="auto"/>
          <w:szCs w:val="21"/>
          <w:lang w:eastAsia="zh-CN"/>
        </w:rPr>
        <w:t>与</w:t>
      </w:r>
      <w:r>
        <w:rPr>
          <w:rFonts w:hint="eastAsia" w:ascii="宋体" w:hAnsi="宋体" w:cs="宋体"/>
          <w:color w:val="auto"/>
          <w:szCs w:val="21"/>
          <w:lang w:val="en-US" w:eastAsia="zh-CN"/>
        </w:rPr>
        <w:t>湖北省教育考试院</w:t>
      </w:r>
      <w:r>
        <w:rPr>
          <w:rFonts w:hint="eastAsia" w:ascii="宋体" w:hAnsi="宋体" w:cs="宋体"/>
          <w:color w:val="auto"/>
          <w:szCs w:val="21"/>
          <w:lang w:eastAsia="zh-CN"/>
        </w:rPr>
        <w:t>平台互联互通的截图（截图须注明考点学校与上级联通单位），加盖投标人公章。</w:t>
      </w:r>
    </w:p>
    <w:bookmarkEnd w:id="113"/>
    <w:p>
      <w:pPr>
        <w:autoSpaceDE w:val="0"/>
        <w:autoSpaceDN w:val="0"/>
        <w:adjustRightInd w:val="0"/>
        <w:spacing w:line="360" w:lineRule="auto"/>
        <w:outlineLvl w:val="1"/>
        <w:rPr>
          <w:rFonts w:asciiTheme="minorEastAsia" w:hAnsiTheme="minorEastAsia" w:eastAsiaTheme="minorEastAsia" w:cstheme="minorEastAsia"/>
          <w:b/>
          <w:bCs/>
          <w:color w:val="auto"/>
          <w:sz w:val="24"/>
        </w:rPr>
      </w:pPr>
      <w:bookmarkStart w:id="114" w:name="_Toc31264"/>
      <w:r>
        <w:rPr>
          <w:rFonts w:hint="eastAsia" w:asciiTheme="minorEastAsia" w:hAnsiTheme="minorEastAsia" w:eastAsiaTheme="minorEastAsia" w:cstheme="minorEastAsia"/>
          <w:b/>
          <w:bCs/>
          <w:color w:val="auto"/>
          <w:sz w:val="24"/>
        </w:rPr>
        <w:t>二、商务需求</w:t>
      </w:r>
      <w:bookmarkEnd w:id="114"/>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1.违约责任：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2.产品质量要求：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2.1投标供应商在招标及成交后，所提供的设备，必须是合同规定厂家制造的，是全新未曾使用过的原装出厂的合格设备。</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3.产品进场安装、调试及验收：</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3.1成交供应商负责本项目办理运输和保险，将货物运抵现场。有关运输和保险的一切费用由乙方承担。</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3.2成交供应商负责调试和试运行的结果必须符合采购人的技术要求，同时也应达到行业有关技术规范的要求。</w:t>
      </w:r>
    </w:p>
    <w:p>
      <w:pPr>
        <w:autoSpaceDE w:val="0"/>
        <w:autoSpaceDN w:val="0"/>
        <w:adjustRightInd w:val="0"/>
        <w:spacing w:line="360" w:lineRule="auto"/>
        <w:ind w:firstLine="420" w:firstLineChars="200"/>
        <w:jc w:val="left"/>
        <w:rPr>
          <w:rFonts w:hint="eastAsia" w:ascii="宋体" w:hAnsi="宋体" w:eastAsia="宋体" w:cs="宋体"/>
          <w:b/>
          <w:bCs/>
          <w:strike w:val="0"/>
          <w:color w:val="auto"/>
          <w:szCs w:val="21"/>
          <w:lang w:eastAsia="zh-CN"/>
        </w:rPr>
      </w:pPr>
      <w:r>
        <w:rPr>
          <w:rFonts w:hint="eastAsia" w:ascii="宋体" w:hAnsi="宋体" w:cs="宋体"/>
          <w:b w:val="0"/>
          <w:bCs w:val="0"/>
          <w:color w:val="auto"/>
          <w:szCs w:val="21"/>
        </w:rPr>
        <w:t>★3.3验收标准：</w:t>
      </w:r>
      <w:r>
        <w:rPr>
          <w:rFonts w:hint="eastAsia" w:ascii="宋体" w:hAnsi="宋体" w:cs="宋体"/>
          <w:b/>
          <w:bCs/>
          <w:strike w:val="0"/>
          <w:dstrike w:val="0"/>
          <w:color w:val="auto"/>
          <w:szCs w:val="21"/>
        </w:rPr>
        <w:t>投标人须提供承诺函加公章</w:t>
      </w:r>
      <w:r>
        <w:rPr>
          <w:rFonts w:hint="eastAsia" w:ascii="宋体" w:hAnsi="宋体" w:cs="宋体"/>
          <w:b/>
          <w:bCs/>
          <w:strike w:val="0"/>
          <w:dstrike w:val="0"/>
          <w:color w:val="auto"/>
          <w:szCs w:val="21"/>
          <w:lang w:eastAsia="zh-CN"/>
        </w:rPr>
        <w:t>，格式自拟，内容如下：</w:t>
      </w:r>
      <w:r>
        <w:rPr>
          <w:rFonts w:hint="eastAsia" w:ascii="宋体" w:hAnsi="宋体" w:cs="宋体"/>
          <w:strike w:val="0"/>
          <w:dstrike w:val="0"/>
          <w:color w:val="auto"/>
          <w:szCs w:val="21"/>
        </w:rPr>
        <w:t>采购人以招标文件为依据，进行网上巡查系统和侦测引导阻断屏蔽系统上下级互联互通测试和验收。所有设备须符合招标文件</w:t>
      </w:r>
      <w:r>
        <w:rPr>
          <w:rFonts w:hint="eastAsia" w:ascii="宋体" w:hAnsi="宋体" w:cs="宋体"/>
          <w:strike w:val="0"/>
          <w:dstrike w:val="0"/>
          <w:color w:val="auto"/>
          <w:szCs w:val="21"/>
          <w:lang w:eastAsia="zh-CN"/>
        </w:rPr>
        <w:t>，</w:t>
      </w:r>
      <w:r>
        <w:rPr>
          <w:rFonts w:hint="eastAsia" w:ascii="宋体" w:hAnsi="宋体" w:cs="宋体"/>
          <w:strike w:val="0"/>
          <w:dstrike w:val="0"/>
          <w:color w:val="auto"/>
          <w:szCs w:val="21"/>
        </w:rPr>
        <w:t>网上巡查系统</w:t>
      </w:r>
      <w:r>
        <w:rPr>
          <w:rFonts w:hint="eastAsia" w:ascii="宋体" w:hAnsi="宋体" w:cs="宋体"/>
          <w:strike w:val="0"/>
          <w:dstrike w:val="0"/>
          <w:color w:val="auto"/>
          <w:szCs w:val="21"/>
          <w:lang w:val="en-US" w:eastAsia="zh-CN"/>
        </w:rPr>
        <w:t>和</w:t>
      </w:r>
      <w:r>
        <w:rPr>
          <w:rFonts w:hint="eastAsia" w:ascii="宋体" w:hAnsi="宋体" w:cs="宋体"/>
          <w:strike w:val="0"/>
          <w:dstrike w:val="0"/>
          <w:color w:val="auto"/>
          <w:szCs w:val="21"/>
        </w:rPr>
        <w:t>侦测引导阻断屏蔽系统能够与湖北省</w:t>
      </w:r>
      <w:r>
        <w:rPr>
          <w:rFonts w:hint="eastAsia" w:ascii="宋体" w:hAnsi="宋体" w:cs="宋体"/>
          <w:strike w:val="0"/>
          <w:dstrike w:val="0"/>
          <w:color w:val="auto"/>
          <w:szCs w:val="21"/>
          <w:lang w:val="en-US" w:eastAsia="zh-CN"/>
        </w:rPr>
        <w:t>考试院和教育部考试中心</w:t>
      </w:r>
      <w:r>
        <w:rPr>
          <w:rFonts w:hint="eastAsia" w:ascii="宋体" w:hAnsi="宋体" w:cs="宋体"/>
          <w:strike w:val="0"/>
          <w:dstrike w:val="0"/>
          <w:color w:val="auto"/>
          <w:szCs w:val="21"/>
        </w:rPr>
        <w:t>标准化考点系统平台互联互通</w:t>
      </w:r>
      <w:r>
        <w:rPr>
          <w:rFonts w:hint="eastAsia" w:ascii="宋体" w:hAnsi="宋体" w:cs="宋体"/>
          <w:strike w:val="0"/>
          <w:dstrike w:val="0"/>
          <w:color w:val="auto"/>
          <w:szCs w:val="21"/>
          <w:lang w:val="en-US" w:eastAsia="zh-CN"/>
        </w:rPr>
        <w:t>有效截图（有效证明材料）</w:t>
      </w:r>
      <w:r>
        <w:rPr>
          <w:rFonts w:hint="eastAsia" w:ascii="宋体" w:hAnsi="宋体" w:cs="宋体"/>
          <w:strike w:val="0"/>
          <w:dstrike w:val="0"/>
          <w:color w:val="auto"/>
          <w:szCs w:val="21"/>
        </w:rPr>
        <w:t>为验收合格。</w:t>
      </w:r>
      <w:r>
        <w:rPr>
          <w:rFonts w:hint="eastAsia" w:ascii="宋体" w:hAnsi="宋体" w:cs="宋体"/>
          <w:strike w:val="0"/>
          <w:color w:val="auto"/>
          <w:szCs w:val="21"/>
        </w:rPr>
        <w:t>验收合格后付款，如若验收时不能实现招标文件的相关技术要求，影响到采购人的正常使用，采购人有权</w:t>
      </w:r>
      <w:r>
        <w:rPr>
          <w:rFonts w:hint="eastAsia" w:ascii="宋体" w:hAnsi="宋体" w:cs="宋体"/>
          <w:strike w:val="0"/>
          <w:dstrike w:val="0"/>
          <w:color w:val="auto"/>
          <w:szCs w:val="21"/>
          <w:lang w:val="en-US" w:eastAsia="zh-CN"/>
        </w:rPr>
        <w:t>终止合同</w:t>
      </w:r>
      <w:r>
        <w:rPr>
          <w:rFonts w:hint="eastAsia" w:ascii="宋体" w:hAnsi="宋体" w:cs="宋体"/>
          <w:strike w:val="0"/>
          <w:color w:val="auto"/>
          <w:szCs w:val="21"/>
        </w:rPr>
        <w:t>处理并追究其责任，并向政府采购监管部门汇报其虚假应标的行为，造成损失的，可以要求其赔偿相应的损失。</w:t>
      </w:r>
      <w:r>
        <w:rPr>
          <w:rFonts w:hint="eastAsia" w:ascii="宋体" w:hAnsi="宋体" w:cs="宋体"/>
          <w:strike w:val="0"/>
          <w:dstrike w:val="0"/>
          <w:color w:val="auto"/>
          <w:szCs w:val="21"/>
        </w:rPr>
        <w:t>供应商须在响应文件中作出承诺，如中标后出现不能与湖北省及国家教育部标准化考点系统平台对接的情况，供应商应承担全部责任，与采购人无关。</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3.4成交供应商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成交供应商必须承担所有法律和经济责任，采购人概不负责；若发生房屋损坏、设备损坏丢失、线路及设备毁损等财产损失安全事故，成交供应商必须承担经济赔偿。</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4.售后服务要求：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4.1质保期、保修期内因国产货物（含配套系统、配件备件）质量或安装调试原因引起的全部维修费用（包括更换零配件的费用）均由成交供应商承担。</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4.2质保期、保修期外，成交供应商应定期回访，发现问题及时通知甲方，国产货物（含配套系统、配件备件）维修零配件以优惠价给甲方（免收人工及差旅费）。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4.3确保所采购货物和服务无质量问题，能满足质保期的要求。完成出厂检验、设备安装、系统调试、备品备件的配备、技术升级、培训（培训目的、培训场所、培训方式、培训人数、培训教材等），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4.4售后服务效率要求：接到采购人故障通知后在24小时之内上门服务，小型故障在3天内解决，大故障在15天内解决，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5.实施人员要求：按本项目情况配置齐全的实施人员，且分工明确。</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7.交货地点：采购人指定地点。</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8.履约保证金：本合同正式签订前，成交供应商需向采购人支付合同金额的5%作为履约保证金（优先以金融机构、担保机构出具的保函或者支票、汇票、本票等非现金形式提交）。</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9.付款方式：</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9.1成交供应商须提供增值税专用发票。</w:t>
      </w:r>
    </w:p>
    <w:p>
      <w:pPr>
        <w:autoSpaceDE w:val="0"/>
        <w:autoSpaceDN w:val="0"/>
        <w:adjustRightInd w:val="0"/>
        <w:spacing w:line="360" w:lineRule="auto"/>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rPr>
        <w:t>9.2全部货物（含配套系统、配件备件）经采购人验收合格并收到成交供应商发票后15个工作日内，采购人向成交供应商支付合同总金额的100%，上述履约保证金</w:t>
      </w:r>
      <w:r>
        <w:rPr>
          <w:rFonts w:hint="eastAsia" w:ascii="宋体" w:hAnsi="宋体" w:cs="宋体"/>
          <w:color w:val="auto"/>
          <w:szCs w:val="21"/>
          <w:lang w:val="en-US" w:eastAsia="zh-CN"/>
        </w:rPr>
        <w:t>在</w:t>
      </w:r>
      <w:r>
        <w:rPr>
          <w:rFonts w:hint="eastAsia" w:ascii="宋体" w:hAnsi="宋体" w:cs="宋体"/>
          <w:color w:val="auto"/>
          <w:szCs w:val="21"/>
        </w:rPr>
        <w:t xml:space="preserve">产品验收合格满 </w:t>
      </w:r>
      <w:r>
        <w:rPr>
          <w:rFonts w:hint="eastAsia" w:ascii="宋体" w:hAnsi="宋体" w:cs="宋体"/>
          <w:color w:val="auto"/>
          <w:szCs w:val="21"/>
          <w:lang w:val="en-US" w:eastAsia="zh-CN"/>
        </w:rPr>
        <w:t>1</w:t>
      </w:r>
      <w:r>
        <w:rPr>
          <w:rFonts w:hint="eastAsia" w:ascii="宋体" w:hAnsi="宋体" w:cs="宋体"/>
          <w:color w:val="auto"/>
          <w:szCs w:val="21"/>
        </w:rPr>
        <w:t xml:space="preserve"> 年后，若无质量问题甲方将全额无息退还给乙方</w:t>
      </w:r>
      <w:r>
        <w:rPr>
          <w:rFonts w:hint="eastAsia" w:ascii="宋体" w:hAnsi="宋体" w:cs="宋体"/>
          <w:color w:val="auto"/>
          <w:szCs w:val="21"/>
          <w:lang w:eastAsia="zh-CN"/>
        </w:rPr>
        <w:t>。</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10.其它：</w:t>
      </w:r>
    </w:p>
    <w:p>
      <w:pPr>
        <w:autoSpaceDE w:val="0"/>
        <w:autoSpaceDN w:val="0"/>
        <w:adjustRightInd w:val="0"/>
        <w:spacing w:line="360" w:lineRule="auto"/>
        <w:ind w:firstLine="420" w:firstLineChars="200"/>
        <w:rPr>
          <w:rFonts w:ascii="宋体" w:hAnsi="宋体" w:cs="宋体"/>
          <w:color w:val="auto"/>
          <w:szCs w:val="21"/>
        </w:rPr>
      </w:pPr>
      <w:r>
        <w:rPr>
          <w:rFonts w:hint="eastAsia" w:ascii="宋体" w:hAnsi="宋体" w:cs="宋体"/>
          <w:color w:val="auto"/>
          <w:szCs w:val="21"/>
        </w:rPr>
        <w:t>10.1供应商需针对本项目提供相关交货验收方案（包含项目对接、交货计划、货物运输、交货期保障措施、安装调试步骤及措施、验收组织流程等）、质量管控措施（包含质量目标、质量管理制度、质量保证措施等）、技术培训方案（包含培训人员、时间、内容等）、售后方案（包含服务标准和应急维修时间安排、质保期满后的承诺、备品备件、其它服务承诺等）等本项目评审因素要求的相关材料。</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10.2其他未尽事宜由成交供应商和采购人按合同进行约定。</w:t>
      </w:r>
    </w:p>
    <w:p>
      <w:pPr>
        <w:rPr>
          <w:rFonts w:ascii="宋体" w:hAnsi="宋体" w:cs="宋体"/>
          <w:color w:val="auto"/>
          <w:szCs w:val="21"/>
        </w:rPr>
      </w:pPr>
      <w:r>
        <w:rPr>
          <w:rFonts w:hint="eastAsia" w:ascii="宋体" w:hAnsi="宋体" w:cs="宋体"/>
          <w:color w:val="auto"/>
          <w:szCs w:val="21"/>
        </w:rPr>
        <w:br w:type="page"/>
      </w:r>
    </w:p>
    <w:p>
      <w:pPr>
        <w:pStyle w:val="12"/>
        <w:rPr>
          <w:color w:val="auto"/>
        </w:rPr>
      </w:pPr>
    </w:p>
    <w:p>
      <w:pPr>
        <w:pStyle w:val="3"/>
        <w:numPr>
          <w:ilvl w:val="0"/>
          <w:numId w:val="4"/>
        </w:numPr>
        <w:jc w:val="center"/>
        <w:rPr>
          <w:rFonts w:asciiTheme="minorEastAsia" w:hAnsiTheme="minorEastAsia" w:eastAsiaTheme="minorEastAsia" w:cstheme="minorEastAsia"/>
          <w:color w:val="auto"/>
          <w:szCs w:val="21"/>
        </w:rPr>
      </w:pPr>
      <w:bookmarkStart w:id="115" w:name="_Toc22031"/>
      <w:r>
        <w:rPr>
          <w:rFonts w:hint="eastAsia" w:asciiTheme="minorEastAsia" w:hAnsiTheme="minorEastAsia" w:eastAsiaTheme="minorEastAsia" w:cstheme="minorEastAsia"/>
          <w:color w:val="auto"/>
          <w:sz w:val="36"/>
          <w:szCs w:val="36"/>
        </w:rPr>
        <w:t>竞争性磋商采购评定办法</w:t>
      </w:r>
      <w:bookmarkEnd w:id="115"/>
    </w:p>
    <w:p>
      <w:pPr>
        <w:spacing w:line="360" w:lineRule="auto"/>
        <w:outlineLvl w:val="1"/>
        <w:rPr>
          <w:rFonts w:asciiTheme="minorEastAsia" w:hAnsiTheme="minorEastAsia" w:eastAsiaTheme="minorEastAsia" w:cstheme="minorEastAsia"/>
          <w:b/>
          <w:color w:val="auto"/>
          <w:szCs w:val="21"/>
        </w:rPr>
      </w:pPr>
      <w:bookmarkStart w:id="116" w:name="_Toc28632"/>
      <w:r>
        <w:rPr>
          <w:rFonts w:hint="eastAsia" w:asciiTheme="minorEastAsia" w:hAnsiTheme="minorEastAsia" w:eastAsiaTheme="minorEastAsia" w:cstheme="minorEastAsia"/>
          <w:b/>
          <w:color w:val="auto"/>
          <w:szCs w:val="21"/>
        </w:rPr>
        <w:t>一、评定办法前附表</w:t>
      </w:r>
      <w:bookmarkEnd w:id="116"/>
    </w:p>
    <w:tbl>
      <w:tblPr>
        <w:tblStyle w:val="28"/>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条款号</w:t>
            </w:r>
          </w:p>
        </w:tc>
        <w:tc>
          <w:tcPr>
            <w:tcW w:w="2268"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评审因素</w:t>
            </w:r>
          </w:p>
        </w:tc>
        <w:tc>
          <w:tcPr>
            <w:tcW w:w="5563"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1.1</w:t>
            </w:r>
          </w:p>
        </w:tc>
        <w:tc>
          <w:tcPr>
            <w:tcW w:w="851"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szCs w:val="21"/>
              </w:rPr>
              <w:t>资格性审查标准</w:t>
            </w: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禁止性情形</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单位负责人为同一人或者存在直接控股、管理关系的不同供应商，不得参加本项目同一合同项下的政府采购活动。（按在采购代理机构获取文件的顺次序选择供应商参加本项目）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color w:val="auto"/>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color w:val="auto"/>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未被列入失信被执行人、</w:t>
            </w:r>
            <w:r>
              <w:rPr>
                <w:rFonts w:hint="eastAsia" w:asciiTheme="minorEastAsia" w:hAnsiTheme="minorEastAsia" w:eastAsiaTheme="minorEastAsia" w:cstheme="minorEastAsia"/>
                <w:color w:val="auto"/>
                <w:szCs w:val="21"/>
                <w:lang w:eastAsia="zh-CN"/>
              </w:rPr>
              <w:t>重大税收违法失信主体</w:t>
            </w:r>
            <w:r>
              <w:rPr>
                <w:rFonts w:hint="eastAsia" w:asciiTheme="minorEastAsia" w:hAnsiTheme="minorEastAsia" w:eastAsiaTheme="minorEastAsia" w:cstheme="minorEastAsia"/>
                <w:color w:val="auto"/>
                <w:szCs w:val="21"/>
              </w:rPr>
              <w:t>（链接：https://www.creditchina.gov.cn/），未被列入政府采购严重违法失信行为记录名单（链接：http://www.ccgp.gov.cn/search/cr/）。</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Align w:val="center"/>
          </w:tcPr>
          <w:p>
            <w:pPr>
              <w:widowControl/>
              <w:spacing w:line="280" w:lineRule="exact"/>
              <w:jc w:val="center"/>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eastAsia="zh-CN"/>
              </w:rPr>
              <w:t>部分</w:t>
            </w:r>
            <w:r>
              <w:rPr>
                <w:rFonts w:hint="eastAsia" w:asciiTheme="minorEastAsia" w:hAnsiTheme="minorEastAsia" w:eastAsiaTheme="minorEastAsia" w:cstheme="minorEastAsia"/>
                <w:b/>
                <w:bCs/>
                <w:color w:val="auto"/>
                <w:szCs w:val="21"/>
                <w:lang w:val="zh-CN"/>
              </w:rPr>
              <w:t>专门面向中小微企业</w:t>
            </w:r>
            <w:r>
              <w:rPr>
                <w:rFonts w:hint="eastAsia" w:asciiTheme="minorEastAsia" w:hAnsiTheme="minorEastAsia" w:eastAsiaTheme="minorEastAsia" w:cstheme="minorEastAsia"/>
                <w:b/>
                <w:bCs/>
                <w:color w:val="auto"/>
                <w:szCs w:val="21"/>
                <w:lang w:val="zh-CN" w:eastAsia="zh-CN"/>
              </w:rPr>
              <w:t>采购的内容详见第三章：采购需求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Align w:val="center"/>
          </w:tcPr>
          <w:p>
            <w:pPr>
              <w:widowControl/>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1.2</w:t>
            </w:r>
          </w:p>
        </w:tc>
        <w:tc>
          <w:tcPr>
            <w:tcW w:w="851" w:type="dxa"/>
            <w:vMerge w:val="restart"/>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w:t>
            </w:r>
          </w:p>
          <w:p>
            <w:pPr>
              <w:jc w:val="center"/>
              <w:rPr>
                <w:rFonts w:asciiTheme="minorEastAsia" w:hAnsiTheme="minorEastAsia" w:eastAsiaTheme="minorEastAsia" w:cstheme="minorEastAsia"/>
                <w:color w:val="auto"/>
                <w:szCs w:val="21"/>
              </w:rPr>
            </w:pPr>
          </w:p>
        </w:tc>
        <w:tc>
          <w:tcPr>
            <w:tcW w:w="2268"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磋商保证金（如有）</w:t>
            </w:r>
          </w:p>
        </w:tc>
        <w:tc>
          <w:tcPr>
            <w:tcW w:w="5563" w:type="dxa"/>
            <w:vAlign w:val="center"/>
          </w:tcPr>
          <w:p>
            <w:pPr>
              <w:widowControl/>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磋商书签字盖章</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Merge w:val="restart"/>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采购需求响应</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宋体" w:hAnsi="宋体" w:cs="宋体"/>
                <w:color w:val="auto"/>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Merge w:val="continue"/>
            <w:vAlign w:val="center"/>
          </w:tcPr>
          <w:p>
            <w:pPr>
              <w:widowControl/>
              <w:jc w:val="center"/>
              <w:rPr>
                <w:rFonts w:asciiTheme="minorEastAsia" w:hAnsiTheme="minorEastAsia" w:eastAsiaTheme="minorEastAsia" w:cstheme="minorEastAsia"/>
                <w:color w:val="auto"/>
                <w:kern w:val="0"/>
                <w:szCs w:val="21"/>
              </w:rPr>
            </w:pP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autoSpaceDE w:val="0"/>
              <w:autoSpaceDN w:val="0"/>
              <w:adjustRightInd w:val="0"/>
              <w:snapToGrid w:val="0"/>
              <w:jc w:val="center"/>
              <w:rPr>
                <w:rFonts w:ascii="宋体" w:hAnsi="宋体"/>
                <w:color w:val="auto"/>
                <w:szCs w:val="21"/>
              </w:rPr>
            </w:pPr>
            <w:r>
              <w:rPr>
                <w:rFonts w:hint="eastAsia" w:ascii="宋体" w:hAnsi="宋体"/>
                <w:color w:val="auto"/>
                <w:szCs w:val="21"/>
              </w:rPr>
              <w:t>其他要求（一）</w:t>
            </w:r>
          </w:p>
        </w:tc>
        <w:tc>
          <w:tcPr>
            <w:tcW w:w="5563" w:type="dxa"/>
            <w:vAlign w:val="center"/>
          </w:tcPr>
          <w:p>
            <w:pPr>
              <w:autoSpaceDE w:val="0"/>
              <w:autoSpaceDN w:val="0"/>
              <w:adjustRightInd w:val="0"/>
              <w:snapToGrid w:val="0"/>
              <w:rPr>
                <w:rFonts w:ascii="宋体" w:hAnsi="宋体"/>
                <w:color w:val="auto"/>
                <w:szCs w:val="21"/>
              </w:rPr>
            </w:pPr>
            <w:r>
              <w:rPr>
                <w:rFonts w:hint="eastAsia" w:ascii="宋体" w:hAnsi="宋体"/>
                <w:color w:val="auto"/>
                <w:szCs w:val="21"/>
              </w:rPr>
              <w:t>供应商未有下列任一情形：</w:t>
            </w:r>
          </w:p>
          <w:p>
            <w:pPr>
              <w:autoSpaceDE w:val="0"/>
              <w:autoSpaceDN w:val="0"/>
              <w:adjustRightInd w:val="0"/>
              <w:snapToGrid w:val="0"/>
              <w:rPr>
                <w:rFonts w:ascii="宋体" w:hAnsi="宋体"/>
                <w:color w:val="auto"/>
                <w:szCs w:val="21"/>
              </w:rPr>
            </w:pPr>
            <w:r>
              <w:rPr>
                <w:rFonts w:hint="eastAsia" w:ascii="宋体" w:hAnsi="宋体"/>
                <w:color w:val="auto"/>
                <w:szCs w:val="21"/>
              </w:rPr>
              <w:t>（1）不同供应商的响应文件由同一单位或者个人编制；</w:t>
            </w:r>
          </w:p>
          <w:p>
            <w:pPr>
              <w:autoSpaceDE w:val="0"/>
              <w:autoSpaceDN w:val="0"/>
              <w:adjustRightInd w:val="0"/>
              <w:snapToGrid w:val="0"/>
              <w:rPr>
                <w:rFonts w:ascii="宋体" w:hAnsi="宋体"/>
                <w:color w:val="auto"/>
                <w:szCs w:val="21"/>
              </w:rPr>
            </w:pPr>
            <w:r>
              <w:rPr>
                <w:rFonts w:hint="eastAsia" w:ascii="宋体" w:hAnsi="宋体"/>
                <w:color w:val="auto"/>
                <w:szCs w:val="21"/>
              </w:rPr>
              <w:t>（2）不同供应商委托同一单位或者个人办理投标事宜；</w:t>
            </w:r>
          </w:p>
          <w:p>
            <w:pPr>
              <w:autoSpaceDE w:val="0"/>
              <w:autoSpaceDN w:val="0"/>
              <w:adjustRightInd w:val="0"/>
              <w:snapToGrid w:val="0"/>
              <w:rPr>
                <w:rFonts w:ascii="宋体" w:hAnsi="宋体"/>
                <w:color w:val="auto"/>
                <w:szCs w:val="21"/>
              </w:rPr>
            </w:pPr>
            <w:r>
              <w:rPr>
                <w:rFonts w:hint="eastAsia" w:ascii="宋体" w:hAnsi="宋体"/>
                <w:color w:val="auto"/>
                <w:szCs w:val="21"/>
              </w:rPr>
              <w:t>（3）不同供应商的响应文件载明的项目管理成员或者联系人员为同一人；</w:t>
            </w:r>
          </w:p>
          <w:p>
            <w:pPr>
              <w:autoSpaceDE w:val="0"/>
              <w:autoSpaceDN w:val="0"/>
              <w:adjustRightInd w:val="0"/>
              <w:snapToGrid w:val="0"/>
              <w:rPr>
                <w:rFonts w:ascii="宋体" w:hAnsi="宋体"/>
                <w:color w:val="auto"/>
                <w:szCs w:val="21"/>
              </w:rPr>
            </w:pPr>
            <w:r>
              <w:rPr>
                <w:rFonts w:hint="eastAsia" w:ascii="宋体" w:hAnsi="宋体"/>
                <w:color w:val="auto"/>
                <w:szCs w:val="21"/>
              </w:rPr>
              <w:t>（4）不同供应商的响应文件异常一致或者投标报价呈规律性差异；</w:t>
            </w:r>
          </w:p>
          <w:p>
            <w:pPr>
              <w:autoSpaceDE w:val="0"/>
              <w:autoSpaceDN w:val="0"/>
              <w:adjustRightInd w:val="0"/>
              <w:snapToGrid w:val="0"/>
              <w:rPr>
                <w:rFonts w:ascii="宋体" w:hAnsi="宋体"/>
                <w:color w:val="auto"/>
                <w:szCs w:val="21"/>
              </w:rPr>
            </w:pPr>
            <w:r>
              <w:rPr>
                <w:rFonts w:hint="eastAsia" w:ascii="宋体" w:hAnsi="宋体"/>
                <w:color w:val="auto"/>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其他要求（二）</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宋体" w:hAnsi="宋体" w:cs="宋体"/>
                <w:color w:val="auto"/>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其他要求（三）（如有）</w:t>
            </w:r>
          </w:p>
        </w:tc>
        <w:tc>
          <w:tcPr>
            <w:tcW w:w="5563" w:type="dxa"/>
            <w:vAlign w:val="center"/>
          </w:tcPr>
          <w:p>
            <w:pPr>
              <w:widowControl/>
              <w:spacing w:line="360" w:lineRule="auto"/>
              <w:rPr>
                <w:rFonts w:ascii="宋体" w:hAnsi="宋体" w:cs="宋体"/>
                <w:color w:val="auto"/>
                <w:kern w:val="0"/>
                <w:szCs w:val="21"/>
              </w:rPr>
            </w:pPr>
            <w:r>
              <w:rPr>
                <w:rFonts w:hint="eastAsia" w:ascii="宋体" w:hAnsi="宋体" w:cs="宋体"/>
                <w:color w:val="auto"/>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w:t>
            </w:r>
          </w:p>
        </w:tc>
        <w:tc>
          <w:tcPr>
            <w:tcW w:w="851" w:type="dxa"/>
            <w:vMerge w:val="restart"/>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确定磋商供应商进行最后报价</w:t>
            </w:r>
          </w:p>
        </w:tc>
        <w:tc>
          <w:tcPr>
            <w:tcW w:w="2268"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kern w:val="0"/>
                <w:szCs w:val="21"/>
              </w:rPr>
            </w:pPr>
          </w:p>
        </w:tc>
        <w:tc>
          <w:tcPr>
            <w:tcW w:w="2268"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3</w:t>
            </w:r>
          </w:p>
        </w:tc>
        <w:tc>
          <w:tcPr>
            <w:tcW w:w="851"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评定</w:t>
            </w:r>
          </w:p>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办法</w:t>
            </w: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kern w:val="0"/>
                <w:szCs w:val="21"/>
              </w:rPr>
              <w:t>综合评分法</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
                <w:color w:val="auto"/>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所属行业及</w:t>
            </w:r>
          </w:p>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划型标准</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类型：工业</w:t>
            </w:r>
          </w:p>
          <w:p>
            <w:pPr>
              <w:widowControl/>
              <w:rPr>
                <w:rFonts w:asciiTheme="minorEastAsia" w:hAnsiTheme="minorEastAsia" w:eastAsiaTheme="minorEastAsia" w:cstheme="minorEastAsia"/>
                <w:color w:val="auto"/>
                <w:kern w:val="0"/>
                <w:szCs w:val="21"/>
                <w:u w:val="single"/>
              </w:rPr>
            </w:pPr>
            <w:r>
              <w:rPr>
                <w:rFonts w:hint="eastAsia" w:asciiTheme="minorEastAsia" w:hAnsiTheme="minorEastAsia" w:eastAsiaTheme="minorEastAsia" w:cstheme="minorEastAsia"/>
                <w:color w:val="auto"/>
                <w:kern w:val="0"/>
                <w:szCs w:val="21"/>
              </w:rPr>
              <w:t>小型：从业人员</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rPr>
              <w:tab/>
            </w:r>
            <w:r>
              <w:rPr>
                <w:rFonts w:hint="eastAsia" w:asciiTheme="minorEastAsia" w:hAnsiTheme="minorEastAsia" w:eastAsiaTheme="minorEastAsia" w:cstheme="minorEastAsia"/>
                <w:color w:val="auto"/>
                <w:kern w:val="0"/>
                <w:szCs w:val="21"/>
              </w:rPr>
              <w:t>营业收入</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资产总额</w:t>
            </w:r>
            <w:r>
              <w:rPr>
                <w:rFonts w:hint="eastAsia" w:asciiTheme="minorEastAsia" w:hAnsiTheme="minorEastAsia" w:eastAsiaTheme="minorEastAsia" w:cstheme="minorEastAsia"/>
                <w:color w:val="auto"/>
                <w:kern w:val="0"/>
                <w:szCs w:val="21"/>
                <w:u w:val="single"/>
              </w:rPr>
              <w:t xml:space="preserve">     </w:t>
            </w:r>
          </w:p>
          <w:p>
            <w:pP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微型：从业人员</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rPr>
              <w:tab/>
            </w:r>
            <w:r>
              <w:rPr>
                <w:rFonts w:hint="eastAsia" w:asciiTheme="minorEastAsia" w:hAnsiTheme="minorEastAsia" w:eastAsiaTheme="minorEastAsia" w:cstheme="minorEastAsia"/>
                <w:color w:val="auto"/>
                <w:kern w:val="0"/>
                <w:szCs w:val="21"/>
              </w:rPr>
              <w:t>营业收入</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资产总额</w:t>
            </w:r>
            <w:r>
              <w:rPr>
                <w:rFonts w:hint="eastAsia" w:asciiTheme="minorEastAsia" w:hAnsiTheme="minorEastAsia" w:eastAsiaTheme="minorEastAsia" w:cstheme="minorEastAsia"/>
                <w:color w:val="auto"/>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中小企业</w:t>
            </w:r>
          </w:p>
        </w:tc>
        <w:tc>
          <w:tcPr>
            <w:tcW w:w="7831" w:type="dxa"/>
            <w:gridSpan w:val="2"/>
            <w:vAlign w:val="center"/>
          </w:tcPr>
          <w:p>
            <w:pP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监狱企业</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促进残疾人</w:t>
            </w:r>
          </w:p>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就业</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color w:val="auto"/>
                <w:kern w:val="0"/>
                <w:szCs w:val="21"/>
                <w:lang w:val="zh-CN"/>
              </w:rPr>
            </w:pPr>
          </w:p>
          <w:p>
            <w:pPr>
              <w:autoSpaceDE w:val="0"/>
              <w:autoSpaceDN w:val="0"/>
              <w:adjustRightInd w:val="0"/>
              <w:jc w:val="center"/>
              <w:rPr>
                <w:rFonts w:asciiTheme="minorEastAsia" w:hAnsiTheme="minorEastAsia" w:cstheme="minorEastAsia"/>
                <w:color w:val="auto"/>
                <w:kern w:val="0"/>
                <w:szCs w:val="21"/>
              </w:rPr>
            </w:pPr>
            <w:r>
              <w:rPr>
                <w:rFonts w:hint="eastAsia" w:ascii="宋体" w:hAnsi="宋体" w:cs="宋体"/>
                <w:snapToGrid w:val="0"/>
                <w:color w:val="auto"/>
                <w:kern w:val="0"/>
                <w:szCs w:val="21"/>
                <w:lang w:val="zh-CN"/>
              </w:rPr>
              <w:t>节能</w:t>
            </w:r>
            <w:r>
              <w:rPr>
                <w:rFonts w:hint="eastAsia" w:ascii="宋体" w:hAnsi="宋体" w:cs="宋体"/>
                <w:snapToGrid w:val="0"/>
                <w:color w:val="auto"/>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color w:val="auto"/>
          <w:szCs w:val="21"/>
        </w:rPr>
      </w:pPr>
      <w:bookmarkStart w:id="117" w:name="_Toc17070"/>
      <w:r>
        <w:rPr>
          <w:rFonts w:hint="eastAsia" w:asciiTheme="minorEastAsia" w:hAnsiTheme="minorEastAsia" w:eastAsiaTheme="minorEastAsia" w:cstheme="minorEastAsia"/>
          <w:b/>
          <w:color w:val="auto"/>
          <w:szCs w:val="21"/>
        </w:rPr>
        <w:br w:type="textWrapping"/>
      </w:r>
      <w:r>
        <w:rPr>
          <w:rFonts w:hint="eastAsia" w:asciiTheme="minorEastAsia" w:hAnsiTheme="minorEastAsia" w:eastAsiaTheme="minorEastAsia" w:cstheme="minorEastAsia"/>
          <w:b/>
          <w:color w:val="auto"/>
          <w:szCs w:val="21"/>
        </w:rPr>
        <w:br w:type="textWrapping"/>
      </w:r>
      <w:r>
        <w:rPr>
          <w:rFonts w:hint="eastAsia" w:asciiTheme="minorEastAsia" w:hAnsiTheme="minorEastAsia" w:eastAsiaTheme="minorEastAsia" w:cstheme="minorEastAsia"/>
          <w:b/>
          <w:color w:val="auto"/>
          <w:szCs w:val="21"/>
        </w:rPr>
        <w:t>二、计算办法</w:t>
      </w:r>
      <w:bookmarkEnd w:id="117"/>
    </w:p>
    <w:tbl>
      <w:tblPr>
        <w:tblStyle w:val="28"/>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分值构成(总分100分)</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评分因素</w:t>
            </w:r>
          </w:p>
        </w:tc>
        <w:tc>
          <w:tcPr>
            <w:tcW w:w="6322"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技术部分评分标准</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商务部分评分标准</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竞标报价评分标准</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得分相同的供应商，按竞标报价由低到高顺序排列。得分且报价相同的，按技术指标优劣顺序排列。</w:t>
            </w:r>
          </w:p>
        </w:tc>
      </w:tr>
    </w:tbl>
    <w:p>
      <w:pPr>
        <w:pStyle w:val="22"/>
        <w:outlineLvl w:val="1"/>
        <w:rPr>
          <w:rFonts w:asciiTheme="minorEastAsia" w:hAnsiTheme="minorEastAsia" w:eastAsiaTheme="minorEastAsia" w:cstheme="minorEastAsia"/>
          <w:color w:val="auto"/>
        </w:rPr>
        <w:sectPr>
          <w:footerReference r:id="rId7" w:type="default"/>
          <w:type w:val="continuous"/>
          <w:pgSz w:w="11906" w:h="16838"/>
          <w:pgMar w:top="1417" w:right="1417" w:bottom="1417" w:left="1417" w:header="851" w:footer="992" w:gutter="0"/>
          <w:cols w:space="720" w:num="1"/>
          <w:docGrid w:type="lines" w:linePitch="312" w:charSpace="0"/>
        </w:sectPr>
      </w:pPr>
      <w:bookmarkStart w:id="118" w:name="_Toc11980"/>
      <w:bookmarkStart w:id="119" w:name="_Toc17585"/>
      <w:bookmarkStart w:id="120" w:name="_Toc8676"/>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bookmarkEnd w:id="118"/>
      <w:bookmarkEnd w:id="119"/>
      <w:bookmarkEnd w:id="120"/>
    </w:p>
    <w:p>
      <w:pPr>
        <w:pStyle w:val="22"/>
        <w:outlineLvl w:val="1"/>
        <w:rPr>
          <w:rStyle w:val="108"/>
          <w:color w:val="auto"/>
        </w:rPr>
      </w:pPr>
      <w:bookmarkStart w:id="121" w:name="_Toc11519"/>
      <w:r>
        <w:rPr>
          <w:rFonts w:hint="eastAsia" w:asciiTheme="minorEastAsia" w:hAnsiTheme="minorEastAsia" w:eastAsiaTheme="minorEastAsia" w:cstheme="minorEastAsia"/>
          <w:b/>
          <w:color w:val="auto"/>
          <w:szCs w:val="21"/>
        </w:rPr>
        <w:t>三、评分细则</w:t>
      </w:r>
      <w:bookmarkEnd w:id="121"/>
    </w:p>
    <w:tbl>
      <w:tblPr>
        <w:tblStyle w:val="28"/>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hint="eastAsia" w:asciiTheme="minorEastAsia" w:hAnsiTheme="minorEastAsia" w:eastAsiaTheme="minorEastAsia" w:cstheme="minorEastAsia"/>
                <w:b/>
                <w:bCs/>
                <w:color w:val="auto"/>
                <w:spacing w:val="-6"/>
                <w:sz w:val="21"/>
                <w:szCs w:val="21"/>
                <w:lang w:val="en-US" w:eastAsia="zh-CN"/>
              </w:rPr>
            </w:pPr>
            <w:r>
              <w:rPr>
                <w:rFonts w:hint="eastAsia" w:asciiTheme="minorEastAsia" w:hAnsiTheme="minorEastAsia" w:eastAsiaTheme="minorEastAsia" w:cstheme="minorEastAsia"/>
                <w:b/>
                <w:bCs/>
                <w:color w:val="auto"/>
                <w:sz w:val="21"/>
                <w:szCs w:val="21"/>
                <w:lang w:val="en-US" w:eastAsia="zh-CN"/>
              </w:rPr>
              <w:t>类别</w:t>
            </w:r>
          </w:p>
        </w:tc>
        <w:tc>
          <w:tcPr>
            <w:tcW w:w="1376" w:type="dxa"/>
            <w:tcBorders>
              <w:top w:val="single" w:color="auto" w:sz="12" w:space="0"/>
            </w:tcBorders>
            <w:vAlign w:val="center"/>
          </w:tcPr>
          <w:p>
            <w:pPr>
              <w:spacing w:line="360" w:lineRule="atLeast"/>
              <w:jc w:val="center"/>
              <w:rPr>
                <w:rFonts w:hint="eastAsia" w:asciiTheme="minorEastAsia" w:hAnsiTheme="minorEastAsia" w:eastAsiaTheme="minorEastAsia" w:cstheme="minorEastAsia"/>
                <w:b/>
                <w:bCs/>
                <w:color w:val="auto"/>
                <w:spacing w:val="-6"/>
                <w:sz w:val="21"/>
                <w:szCs w:val="21"/>
              </w:rPr>
            </w:pPr>
            <w:r>
              <w:rPr>
                <w:rFonts w:hint="eastAsia" w:asciiTheme="minorEastAsia" w:hAnsiTheme="minorEastAsia" w:eastAsiaTheme="minorEastAsia" w:cstheme="minorEastAsia"/>
                <w:b/>
                <w:bCs/>
                <w:color w:val="auto"/>
                <w:sz w:val="21"/>
                <w:szCs w:val="21"/>
                <w:lang w:val="en-US" w:eastAsia="zh-CN"/>
              </w:rPr>
              <w:t>评审</w:t>
            </w:r>
            <w:r>
              <w:rPr>
                <w:rFonts w:hint="eastAsia" w:asciiTheme="minorEastAsia" w:hAnsiTheme="minorEastAsia" w:eastAsiaTheme="minorEastAsia" w:cstheme="minorEastAsia"/>
                <w:b/>
                <w:bCs/>
                <w:color w:val="auto"/>
                <w:sz w:val="21"/>
                <w:szCs w:val="21"/>
              </w:rPr>
              <w:t>因素</w:t>
            </w:r>
          </w:p>
        </w:tc>
        <w:tc>
          <w:tcPr>
            <w:tcW w:w="6512" w:type="dxa"/>
            <w:tcBorders>
              <w:top w:val="single" w:color="auto" w:sz="12" w:space="0"/>
            </w:tcBorders>
            <w:vAlign w:val="center"/>
          </w:tcPr>
          <w:p>
            <w:pPr>
              <w:spacing w:line="360" w:lineRule="atLeast"/>
              <w:jc w:val="center"/>
              <w:rPr>
                <w:rFonts w:hint="eastAsia" w:asciiTheme="minorEastAsia" w:hAnsiTheme="minorEastAsia" w:eastAsiaTheme="minorEastAsia" w:cstheme="minorEastAsia"/>
                <w:b/>
                <w:bCs/>
                <w:color w:val="auto"/>
                <w:spacing w:val="-6"/>
                <w:sz w:val="21"/>
                <w:szCs w:val="21"/>
              </w:rPr>
            </w:pPr>
            <w:r>
              <w:rPr>
                <w:rFonts w:hint="eastAsia" w:asciiTheme="minorEastAsia" w:hAnsiTheme="minorEastAsia" w:eastAsiaTheme="minorEastAsia" w:cstheme="minorEastAsia"/>
                <w:b/>
                <w:bCs/>
                <w:color w:val="auto"/>
                <w:sz w:val="21"/>
                <w:szCs w:val="21"/>
                <w:lang w:val="en-US" w:eastAsia="zh-CN"/>
              </w:rPr>
              <w:t>评审</w:t>
            </w:r>
            <w:r>
              <w:rPr>
                <w:rFonts w:hint="eastAsia" w:asciiTheme="minorEastAsia" w:hAnsiTheme="minorEastAsia" w:eastAsiaTheme="minorEastAsia" w:cstheme="minorEastAsia"/>
                <w:b/>
                <w:bCs/>
                <w:color w:val="auto"/>
                <w:sz w:val="21"/>
                <w:szCs w:val="21"/>
              </w:rPr>
              <w:t>标准</w:t>
            </w:r>
          </w:p>
        </w:tc>
        <w:tc>
          <w:tcPr>
            <w:tcW w:w="664" w:type="dxa"/>
            <w:tcBorders>
              <w:top w:val="single" w:color="auto" w:sz="12" w:space="0"/>
            </w:tcBorders>
            <w:vAlign w:val="center"/>
          </w:tcPr>
          <w:p>
            <w:pPr>
              <w:spacing w:line="360" w:lineRule="atLeast"/>
              <w:jc w:val="center"/>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kern w:val="0"/>
                <w:szCs w:val="21"/>
                <w:lang w:bidi="ar"/>
              </w:rPr>
              <w:t>竞标报价</w:t>
            </w:r>
            <w:r>
              <w:rPr>
                <w:rFonts w:hint="eastAsia" w:asciiTheme="minorEastAsia" w:hAnsiTheme="minorEastAsia" w:eastAsiaTheme="minorEastAsia" w:cstheme="minorEastAsia"/>
                <w:color w:val="auto"/>
                <w:kern w:val="0"/>
                <w:szCs w:val="21"/>
                <w:lang w:bidi="ar"/>
              </w:rPr>
              <w:br w:type="textWrapping"/>
            </w:r>
            <w:r>
              <w:rPr>
                <w:rFonts w:hint="eastAsia" w:asciiTheme="minorEastAsia" w:hAnsiTheme="minorEastAsia" w:eastAsiaTheme="minorEastAsia" w:cstheme="minorEastAsia"/>
                <w:color w:val="auto"/>
                <w:kern w:val="0"/>
                <w:szCs w:val="21"/>
                <w:lang w:val="en-US" w:eastAsia="zh-CN" w:bidi="ar"/>
              </w:rPr>
              <w:t>5</w:t>
            </w:r>
            <w:r>
              <w:rPr>
                <w:rFonts w:asciiTheme="minorEastAsia" w:hAnsiTheme="minorEastAsia" w:eastAsiaTheme="minorEastAsia" w:cstheme="minorEastAsia"/>
                <w:color w:val="auto"/>
                <w:kern w:val="0"/>
                <w:szCs w:val="21"/>
                <w:lang w:bidi="ar"/>
              </w:rPr>
              <w:t>0</w:t>
            </w:r>
            <w:r>
              <w:rPr>
                <w:rFonts w:hint="eastAsia" w:asciiTheme="minorEastAsia" w:hAnsiTheme="minorEastAsia" w:eastAsiaTheme="minorEastAsia" w:cstheme="minorEastAsia"/>
                <w:color w:val="auto"/>
                <w:kern w:val="0"/>
                <w:szCs w:val="21"/>
                <w:lang w:bidi="ar"/>
              </w:rPr>
              <w:t>分</w:t>
            </w:r>
          </w:p>
        </w:tc>
        <w:tc>
          <w:tcPr>
            <w:tcW w:w="1376" w:type="dxa"/>
            <w:vAlign w:val="center"/>
          </w:tcPr>
          <w:p>
            <w:pPr>
              <w:widowControl/>
              <w:spacing w:line="260" w:lineRule="exact"/>
              <w:jc w:val="center"/>
              <w:textAlignment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（1）报价采用低价优先法计算，即满足磋商采购文件要求且报价最低的报价为磋商基准价，其报价分为满分50分；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（2）其他供应商的报价分按照下列公式计算：</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报价分=（磋商基准价/磋商报价）×50</w:t>
            </w:r>
          </w:p>
          <w:p>
            <w:pPr>
              <w:widowControl/>
              <w:spacing w:line="260" w:lineRule="exact"/>
              <w:jc w:val="left"/>
              <w:textAlignment w:val="center"/>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备注：</w:t>
            </w:r>
            <w:r>
              <w:rPr>
                <w:rFonts w:asciiTheme="minorEastAsia" w:hAnsiTheme="minorEastAsia" w:eastAsiaTheme="minorEastAsia" w:cstheme="minorEastAsia"/>
                <w:b/>
                <w:color w:val="auto"/>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hint="eastAsia" w:asciiTheme="minorEastAsia" w:hAnsiTheme="minorEastAsia" w:eastAsiaTheme="minorEastAsia" w:cstheme="minorEastAsia"/>
                <w:color w:val="auto"/>
              </w:rPr>
            </w:pPr>
            <w:r>
              <w:rPr>
                <w:rFonts w:asciiTheme="minorEastAsia" w:hAnsiTheme="minorEastAsia" w:eastAsiaTheme="minorEastAsia" w:cstheme="minorEastAsia"/>
                <w:b/>
                <w:color w:val="auto"/>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lang w:val="en-US" w:eastAsia="zh-CN" w:bidi="ar"/>
              </w:rPr>
              <w:t>5</w:t>
            </w:r>
            <w:r>
              <w:rPr>
                <w:rFonts w:hint="eastAsia" w:asciiTheme="minorEastAsia" w:hAnsiTheme="minorEastAsia" w:eastAsiaTheme="minorEastAsia" w:cstheme="minorEastAsia"/>
                <w:color w:val="auto"/>
                <w:kern w:val="0"/>
                <w:szCs w:val="21"/>
                <w:lang w:bidi="ar"/>
              </w:rPr>
              <w:t>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t>商务</w:t>
            </w:r>
          </w:p>
          <w:p>
            <w:pPr>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lang w:val="en-US" w:eastAsia="zh-CN"/>
              </w:rPr>
              <w:t>10</w:t>
            </w:r>
            <w:r>
              <w:rPr>
                <w:rFonts w:hint="eastAsia" w:asciiTheme="minorEastAsia" w:hAnsiTheme="minorEastAsia" w:eastAsiaTheme="minorEastAsia" w:cstheme="minorEastAsia"/>
                <w:color w:val="auto"/>
                <w:spacing w:val="-6"/>
                <w:sz w:val="21"/>
                <w:szCs w:val="21"/>
              </w:rPr>
              <w:t>分</w:t>
            </w:r>
          </w:p>
        </w:tc>
        <w:tc>
          <w:tcPr>
            <w:tcW w:w="1376" w:type="dxa"/>
            <w:vAlign w:val="center"/>
          </w:tcPr>
          <w:p>
            <w:pPr>
              <w:jc w:val="center"/>
              <w:rPr>
                <w:rFonts w:hint="eastAsia" w:asciiTheme="minorEastAsia" w:hAnsiTheme="minorEastAsia" w:eastAsiaTheme="minorEastAsia" w:cstheme="minorEastAsia"/>
                <w:color w:val="auto"/>
                <w:spacing w:val="-6"/>
                <w:kern w:val="0"/>
                <w:sz w:val="21"/>
                <w:szCs w:val="21"/>
              </w:rPr>
            </w:pPr>
            <w:r>
              <w:rPr>
                <w:rFonts w:hint="eastAsia" w:ascii="宋体" w:hAnsi="宋体" w:eastAsia="宋体" w:cs="宋体"/>
                <w:color w:val="auto"/>
                <w:spacing w:val="-6"/>
                <w:kern w:val="0"/>
                <w:sz w:val="21"/>
                <w:szCs w:val="21"/>
                <w:highlight w:val="none"/>
              </w:rPr>
              <w:t>体系认证</w:t>
            </w:r>
          </w:p>
        </w:tc>
        <w:tc>
          <w:tcPr>
            <w:tcW w:w="6512" w:type="dxa"/>
            <w:vAlign w:val="center"/>
          </w:tcPr>
          <w:p>
            <w:pPr>
              <w:rPr>
                <w:rFonts w:hint="eastAsia" w:asciiTheme="minorEastAsia" w:hAnsiTheme="minorEastAsia" w:eastAsiaTheme="minorEastAsia" w:cstheme="minorEastAsia"/>
                <w:color w:val="auto"/>
                <w:spacing w:val="-6"/>
                <w:sz w:val="21"/>
                <w:szCs w:val="21"/>
              </w:rPr>
            </w:pPr>
            <w:r>
              <w:rPr>
                <w:rFonts w:hint="eastAsia" w:ascii="宋体" w:hAnsi="宋体" w:eastAsia="宋体" w:cs="宋体"/>
                <w:color w:val="auto"/>
                <w:sz w:val="21"/>
                <w:szCs w:val="21"/>
                <w:highlight w:val="none"/>
                <w:lang w:eastAsia="zh-CN"/>
              </w:rPr>
              <w:t>供应商具有质量管理体系证书，环境管理体系证书，职业健康安全管理体系认证证书，投标供应商</w:t>
            </w:r>
            <w:r>
              <w:rPr>
                <w:rFonts w:hint="eastAsia" w:ascii="宋体" w:hAnsi="宋体" w:eastAsia="宋体" w:cs="宋体"/>
                <w:color w:val="auto"/>
                <w:sz w:val="21"/>
                <w:szCs w:val="21"/>
                <w:highlight w:val="none"/>
                <w:lang w:val="en-US" w:eastAsia="zh-CN"/>
              </w:rPr>
              <w:t>每</w:t>
            </w:r>
            <w:r>
              <w:rPr>
                <w:rFonts w:hint="eastAsia" w:ascii="宋体" w:hAnsi="宋体" w:cs="宋体"/>
                <w:color w:val="auto"/>
                <w:sz w:val="21"/>
                <w:szCs w:val="21"/>
                <w:highlight w:val="none"/>
                <w:lang w:val="en-US" w:eastAsia="zh-CN"/>
              </w:rPr>
              <w:t>提供1项证书</w:t>
            </w:r>
            <w:r>
              <w:rPr>
                <w:rFonts w:hint="eastAsia" w:ascii="宋体" w:hAnsi="宋体" w:eastAsia="宋体" w:cs="宋体"/>
                <w:color w:val="auto"/>
                <w:sz w:val="21"/>
                <w:szCs w:val="21"/>
                <w:highlight w:val="none"/>
                <w:lang w:val="en-US" w:eastAsia="zh-CN"/>
              </w:rPr>
              <w:t>得1分，最多得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tc>
        <w:tc>
          <w:tcPr>
            <w:tcW w:w="664" w:type="dxa"/>
            <w:vAlign w:val="center"/>
          </w:tcPr>
          <w:p>
            <w:pPr>
              <w:jc w:val="center"/>
              <w:rPr>
                <w:rFonts w:hint="default" w:asciiTheme="minorEastAsia" w:hAnsiTheme="minorEastAsia" w:eastAsiaTheme="minorEastAsia" w:cstheme="minorEastAsia"/>
                <w:color w:val="auto"/>
                <w:spacing w:val="-6"/>
                <w:sz w:val="21"/>
                <w:szCs w:val="21"/>
                <w:lang w:val="en-US" w:eastAsia="zh-CN"/>
              </w:rPr>
            </w:pPr>
            <w:r>
              <w:rPr>
                <w:rFonts w:hint="eastAsia" w:asciiTheme="minorEastAsia" w:hAnsiTheme="minorEastAsia" w:eastAsiaTheme="minorEastAsia" w:cstheme="minorEastAsia"/>
                <w:color w:val="auto"/>
                <w:spacing w:val="-6"/>
                <w:sz w:val="21"/>
                <w:szCs w:val="21"/>
                <w:lang w:val="en-US" w:eastAsia="zh-CN"/>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hint="eastAsia" w:asciiTheme="minorEastAsia" w:hAnsiTheme="minorEastAsia" w:eastAsiaTheme="minorEastAsia" w:cstheme="minorEastAsia"/>
                <w:color w:val="auto"/>
                <w:sz w:val="21"/>
                <w:szCs w:val="21"/>
              </w:rPr>
            </w:pPr>
          </w:p>
        </w:tc>
        <w:tc>
          <w:tcPr>
            <w:tcW w:w="1376" w:type="dxa"/>
            <w:vAlign w:val="center"/>
          </w:tcPr>
          <w:p>
            <w:pPr>
              <w:jc w:val="center"/>
              <w:rPr>
                <w:rFonts w:hint="eastAsia" w:asciiTheme="minorEastAsia" w:hAnsiTheme="minorEastAsia" w:eastAsiaTheme="minorEastAsia" w:cstheme="minorEastAsia"/>
                <w:color w:val="auto"/>
                <w:spacing w:val="-6"/>
                <w:kern w:val="0"/>
                <w:sz w:val="21"/>
                <w:szCs w:val="21"/>
              </w:rPr>
            </w:pPr>
            <w:r>
              <w:rPr>
                <w:rFonts w:hint="eastAsia" w:ascii="宋体" w:hAnsi="宋体" w:eastAsia="宋体" w:cs="宋体"/>
                <w:color w:val="auto"/>
                <w:spacing w:val="-6"/>
                <w:kern w:val="0"/>
                <w:sz w:val="21"/>
                <w:szCs w:val="21"/>
                <w:highlight w:val="none"/>
              </w:rPr>
              <w:t>类似业绩</w:t>
            </w:r>
          </w:p>
        </w:tc>
        <w:tc>
          <w:tcPr>
            <w:tcW w:w="6512" w:type="dxa"/>
            <w:vAlign w:val="center"/>
          </w:tcPr>
          <w:p>
            <w:pPr>
              <w:rPr>
                <w:rFonts w:hint="eastAsia" w:asciiTheme="minorEastAsia" w:hAnsiTheme="minorEastAsia" w:eastAsiaTheme="minorEastAsia" w:cstheme="minorEastAsia"/>
                <w:color w:val="auto"/>
                <w:spacing w:val="-6"/>
                <w:kern w:val="0"/>
                <w:sz w:val="21"/>
                <w:szCs w:val="21"/>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近三年（磋商截止时间往前推算36个月）具有类似采购业绩的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每个得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分；（需提供成交通知书</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合同真彩扫描件）</w:t>
            </w:r>
          </w:p>
        </w:tc>
        <w:tc>
          <w:tcPr>
            <w:tcW w:w="664" w:type="dxa"/>
            <w:vAlign w:val="center"/>
          </w:tcPr>
          <w:p>
            <w:pPr>
              <w:autoSpaceDE w:val="0"/>
              <w:autoSpaceDN w:val="0"/>
              <w:adjustRightInd w:val="0"/>
              <w:spacing w:line="300" w:lineRule="auto"/>
              <w:ind w:right="71" w:rightChars="34"/>
              <w:jc w:val="center"/>
              <w:rPr>
                <w:rFonts w:hint="eastAsia" w:asciiTheme="minorEastAsia" w:hAnsiTheme="minorEastAsia" w:eastAsiaTheme="minorEastAsia" w:cstheme="minorEastAsia"/>
                <w:color w:val="auto"/>
                <w:spacing w:val="-6"/>
                <w:kern w:val="0"/>
                <w:sz w:val="21"/>
                <w:szCs w:val="21"/>
                <w:lang w:val="en-US" w:eastAsia="zh-CN"/>
              </w:rPr>
            </w:pPr>
            <w:r>
              <w:rPr>
                <w:rFonts w:hint="eastAsia" w:asciiTheme="minorEastAsia" w:hAnsiTheme="minorEastAsia" w:eastAsiaTheme="minorEastAsia" w:cstheme="minorEastAsia"/>
                <w:color w:val="auto"/>
                <w:spacing w:val="-6"/>
                <w:kern w:val="0"/>
                <w:sz w:val="21"/>
                <w:szCs w:val="21"/>
                <w:lang w:val="en-US" w:eastAsia="zh-CN"/>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hint="eastAsia" w:asciiTheme="minorEastAsia" w:hAnsiTheme="minorEastAsia" w:eastAsiaTheme="minorEastAsia" w:cstheme="minorEastAsia"/>
                <w:color w:val="auto"/>
                <w:sz w:val="21"/>
                <w:szCs w:val="21"/>
              </w:rPr>
            </w:pPr>
          </w:p>
        </w:tc>
        <w:tc>
          <w:tcPr>
            <w:tcW w:w="1376" w:type="dxa"/>
            <w:vAlign w:val="center"/>
          </w:tcPr>
          <w:p>
            <w:pPr>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zh-CN"/>
              </w:rPr>
              <w:t>用户反馈</w:t>
            </w:r>
          </w:p>
        </w:tc>
        <w:tc>
          <w:tcPr>
            <w:tcW w:w="6512" w:type="dxa"/>
            <w:vAlign w:val="center"/>
          </w:tcPr>
          <w:p>
            <w:pPr>
              <w:jc w:val="left"/>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lang w:eastAsia="zh-CN"/>
              </w:rPr>
              <w:t>投标供应商</w:t>
            </w:r>
            <w:r>
              <w:rPr>
                <w:rFonts w:hint="eastAsia" w:ascii="宋体" w:hAnsi="宋体" w:eastAsia="宋体" w:cs="宋体"/>
                <w:color w:val="auto"/>
                <w:spacing w:val="-6"/>
                <w:kern w:val="0"/>
                <w:sz w:val="21"/>
                <w:szCs w:val="21"/>
                <w:highlight w:val="none"/>
                <w:lang w:val="zh-CN"/>
              </w:rPr>
              <w:t>提供近三年（磋商截止时间往前推算36个月）用户出具的</w:t>
            </w:r>
            <w:r>
              <w:rPr>
                <w:rFonts w:hint="eastAsia" w:ascii="宋体" w:hAnsi="宋体" w:cs="宋体"/>
                <w:b/>
                <w:bCs/>
                <w:color w:val="auto"/>
                <w:spacing w:val="-6"/>
                <w:kern w:val="0"/>
                <w:sz w:val="21"/>
                <w:szCs w:val="21"/>
                <w:highlight w:val="none"/>
                <w:lang w:val="en-US" w:eastAsia="zh-CN"/>
              </w:rPr>
              <w:t>类似项目</w:t>
            </w:r>
            <w:r>
              <w:rPr>
                <w:rFonts w:hint="eastAsia" w:ascii="宋体" w:hAnsi="宋体" w:eastAsia="宋体" w:cs="宋体"/>
                <w:color w:val="auto"/>
                <w:spacing w:val="-6"/>
                <w:kern w:val="0"/>
                <w:sz w:val="21"/>
                <w:szCs w:val="21"/>
                <w:highlight w:val="none"/>
                <w:lang w:val="zh-CN"/>
              </w:rPr>
              <w:t>满意评价证明（盖用户单位公章），每提供一个得</w:t>
            </w:r>
            <w:r>
              <w:rPr>
                <w:rFonts w:hint="eastAsia" w:ascii="宋体" w:hAnsi="宋体" w:eastAsia="宋体" w:cs="宋体"/>
                <w:color w:val="auto"/>
                <w:spacing w:val="-6"/>
                <w:kern w:val="0"/>
                <w:sz w:val="21"/>
                <w:szCs w:val="21"/>
                <w:highlight w:val="none"/>
                <w:lang w:val="en-US" w:eastAsia="zh-CN"/>
              </w:rPr>
              <w:t>1</w:t>
            </w:r>
            <w:r>
              <w:rPr>
                <w:rFonts w:hint="eastAsia" w:ascii="宋体" w:hAnsi="宋体" w:eastAsia="宋体" w:cs="宋体"/>
                <w:color w:val="auto"/>
                <w:spacing w:val="-6"/>
                <w:kern w:val="0"/>
                <w:sz w:val="21"/>
                <w:szCs w:val="21"/>
                <w:highlight w:val="none"/>
                <w:lang w:val="zh-CN"/>
              </w:rPr>
              <w:t>分，最高得</w:t>
            </w: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spacing w:val="-6"/>
                <w:kern w:val="0"/>
                <w:sz w:val="21"/>
                <w:szCs w:val="21"/>
                <w:highlight w:val="none"/>
                <w:lang w:val="zh-CN"/>
              </w:rPr>
              <w:t>分。（需提供不同单位出具加盖公章的满意评价证明）</w:t>
            </w:r>
          </w:p>
        </w:tc>
        <w:tc>
          <w:tcPr>
            <w:tcW w:w="664" w:type="dxa"/>
            <w:vAlign w:val="center"/>
          </w:tcPr>
          <w:p>
            <w:pPr>
              <w:jc w:val="center"/>
              <w:rPr>
                <w:rFonts w:hint="eastAsia" w:ascii="宋体" w:hAnsi="宋体" w:eastAsia="宋体" w:cs="宋体"/>
                <w:color w:val="auto"/>
                <w:spacing w:val="-6"/>
                <w:kern w:val="0"/>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hint="eastAsia" w:asciiTheme="minorEastAsia" w:hAnsiTheme="minorEastAsia" w:eastAsiaTheme="minorEastAsia" w:cstheme="minorEastAsia"/>
                <w:color w:val="auto"/>
                <w:sz w:val="21"/>
                <w:szCs w:val="21"/>
              </w:rPr>
            </w:pPr>
          </w:p>
        </w:tc>
        <w:tc>
          <w:tcPr>
            <w:tcW w:w="1376" w:type="dxa"/>
            <w:tcBorders>
              <w:bottom w:val="single" w:color="auto" w:sz="4" w:space="0"/>
            </w:tcBorders>
            <w:vAlign w:val="center"/>
          </w:tcPr>
          <w:p>
            <w:pPr>
              <w:widowControl/>
              <w:jc w:val="center"/>
              <w:textAlignment w:val="center"/>
              <w:rPr>
                <w:rFonts w:hint="eastAsia" w:ascii="宋体" w:hAnsi="宋体" w:eastAsia="宋体" w:cs="宋体"/>
                <w:color w:val="auto"/>
                <w:spacing w:val="-6"/>
                <w:kern w:val="0"/>
                <w:sz w:val="21"/>
                <w:szCs w:val="21"/>
                <w:lang w:val="en-US" w:eastAsia="zh-CN" w:bidi="ar-SA"/>
              </w:rPr>
            </w:pPr>
            <w:r>
              <w:rPr>
                <w:rFonts w:hint="eastAsia" w:ascii="宋体" w:hAnsi="宋体" w:eastAsia="宋体" w:cs="宋体"/>
                <w:color w:val="auto"/>
                <w:szCs w:val="21"/>
              </w:rPr>
              <w:t>质保期</w:t>
            </w:r>
          </w:p>
        </w:tc>
        <w:tc>
          <w:tcPr>
            <w:tcW w:w="6512" w:type="dxa"/>
            <w:tcBorders>
              <w:bottom w:val="single" w:color="auto" w:sz="4" w:space="0"/>
            </w:tcBorders>
            <w:vAlign w:val="center"/>
          </w:tcPr>
          <w:p>
            <w:pPr>
              <w:widowControl/>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highlight w:val="none"/>
              </w:rPr>
              <w:t>质保期在满足</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文件最低要求的基础上，每增加一年得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分，最多得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分。（需提供承诺书，否则不得分）。</w:t>
            </w:r>
          </w:p>
        </w:tc>
        <w:tc>
          <w:tcPr>
            <w:tcW w:w="664" w:type="dxa"/>
            <w:tcBorders>
              <w:bottom w:val="single" w:color="auto" w:sz="4" w:space="0"/>
            </w:tcBorders>
            <w:vAlign w:val="center"/>
          </w:tcPr>
          <w:p>
            <w:pPr>
              <w:widowControl/>
              <w:spacing w:line="260" w:lineRule="exact"/>
              <w:jc w:val="center"/>
              <w:textAlignment w:val="center"/>
              <w:rPr>
                <w:rFonts w:hint="eastAsia" w:ascii="宋体" w:hAnsi="宋体" w:eastAsia="宋体" w:cs="宋体"/>
                <w:color w:val="auto"/>
                <w:spacing w:val="-6"/>
                <w:kern w:val="0"/>
                <w:sz w:val="21"/>
                <w:szCs w:val="21"/>
                <w:lang w:val="en-US" w:eastAsia="zh-CN" w:bidi="ar-SA"/>
              </w:rPr>
            </w:pPr>
            <w:r>
              <w:rPr>
                <w:rFonts w:hint="eastAsia" w:ascii="宋体" w:hAnsi="宋体" w:cs="宋体"/>
                <w:color w:val="auto"/>
                <w:kern w:val="0"/>
                <w:szCs w:val="21"/>
                <w:lang w:val="en-US" w:eastAsia="zh-CN"/>
              </w:rPr>
              <w:t>2</w:t>
            </w:r>
            <w:r>
              <w:rPr>
                <w:rFonts w:hint="eastAsia" w:ascii="宋体" w:hAnsi="宋体" w:eastAsia="宋体" w:cs="宋体"/>
                <w:color w:val="auto"/>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t>技术服务</w:t>
            </w:r>
          </w:p>
          <w:p>
            <w:pPr>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lang w:val="en-US" w:eastAsia="zh-CN"/>
              </w:rPr>
              <w:t>40</w:t>
            </w:r>
            <w:r>
              <w:rPr>
                <w:rFonts w:hint="eastAsia" w:asciiTheme="minorEastAsia" w:hAnsiTheme="minorEastAsia" w:eastAsiaTheme="minorEastAsia" w:cstheme="minorEastAsia"/>
                <w:color w:val="auto"/>
                <w:spacing w:val="-6"/>
                <w:sz w:val="21"/>
                <w:szCs w:val="21"/>
              </w:rPr>
              <w:t>分</w:t>
            </w:r>
          </w:p>
        </w:tc>
        <w:tc>
          <w:tcPr>
            <w:tcW w:w="1376" w:type="dxa"/>
            <w:vAlign w:val="center"/>
          </w:tcPr>
          <w:p>
            <w:pPr>
              <w:jc w:val="center"/>
              <w:rPr>
                <w:rFonts w:hint="eastAsia" w:asciiTheme="minorEastAsia" w:hAnsiTheme="minorEastAsia" w:eastAsiaTheme="minorEastAsia" w:cstheme="minorEastAsia"/>
                <w:color w:val="auto"/>
                <w:spacing w:val="-6"/>
                <w:sz w:val="21"/>
                <w:szCs w:val="21"/>
              </w:rPr>
            </w:pPr>
            <w:r>
              <w:rPr>
                <w:rFonts w:hint="eastAsia" w:ascii="宋体" w:hAnsi="宋体" w:eastAsia="宋体" w:cs="宋体"/>
                <w:color w:val="auto"/>
                <w:szCs w:val="21"/>
              </w:rPr>
              <w:t>设备技术响应</w:t>
            </w:r>
          </w:p>
        </w:tc>
        <w:tc>
          <w:tcPr>
            <w:tcW w:w="6512" w:type="dxa"/>
            <w:vAlign w:val="center"/>
          </w:tcPr>
          <w:p>
            <w:pPr>
              <w:rPr>
                <w:rFonts w:ascii="宋体" w:hAnsi="宋体" w:eastAsia="宋体" w:cs="宋体"/>
                <w:color w:val="auto"/>
                <w:szCs w:val="21"/>
              </w:rPr>
            </w:pPr>
            <w:r>
              <w:rPr>
                <w:rFonts w:hint="eastAsia" w:ascii="宋体" w:hAnsi="宋体" w:eastAsia="宋体" w:cs="宋体"/>
                <w:color w:val="auto"/>
                <w:szCs w:val="21"/>
              </w:rPr>
              <w:t>设备技术性能及参数完全满足招标要求的得</w:t>
            </w:r>
            <w:r>
              <w:rPr>
                <w:rFonts w:hint="eastAsia" w:ascii="宋体" w:hAnsi="宋体" w:cs="宋体"/>
                <w:color w:val="auto"/>
                <w:szCs w:val="21"/>
                <w:lang w:val="en-US" w:eastAsia="zh-CN"/>
              </w:rPr>
              <w:t>28</w:t>
            </w:r>
            <w:r>
              <w:rPr>
                <w:rFonts w:hint="eastAsia" w:ascii="宋体" w:hAnsi="宋体" w:eastAsia="宋体" w:cs="宋体"/>
                <w:color w:val="auto"/>
                <w:szCs w:val="21"/>
              </w:rPr>
              <w:t>分，具体由</w:t>
            </w:r>
            <w:r>
              <w:rPr>
                <w:rFonts w:hint="eastAsia" w:ascii="宋体" w:hAnsi="宋体" w:eastAsia="宋体" w:cs="宋体"/>
                <w:color w:val="auto"/>
                <w:szCs w:val="21"/>
                <w:lang w:eastAsia="zh-CN"/>
              </w:rPr>
              <w:t>磋商小组</w:t>
            </w:r>
            <w:r>
              <w:rPr>
                <w:rFonts w:hint="eastAsia" w:ascii="宋体" w:hAnsi="宋体" w:eastAsia="宋体" w:cs="宋体"/>
                <w:color w:val="auto"/>
                <w:szCs w:val="21"/>
              </w:rPr>
              <w:t>根据</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Cs w:val="21"/>
              </w:rPr>
              <w:t>的</w:t>
            </w:r>
            <w:r>
              <w:rPr>
                <w:rFonts w:hint="eastAsia" w:ascii="宋体" w:hAnsi="宋体" w:eastAsia="宋体" w:cs="宋体"/>
                <w:color w:val="auto"/>
                <w:szCs w:val="21"/>
                <w:lang w:eastAsia="zh-CN"/>
              </w:rPr>
              <w:t>响应文件</w:t>
            </w:r>
            <w:r>
              <w:rPr>
                <w:rFonts w:hint="eastAsia" w:ascii="宋体" w:hAnsi="宋体" w:eastAsia="宋体" w:cs="宋体"/>
                <w:color w:val="auto"/>
                <w:szCs w:val="21"/>
              </w:rPr>
              <w:t>中产品情况、《技术响应、偏离说明表》等有关资料打分。其中：完全满足招标技术参数要求的得</w:t>
            </w:r>
            <w:r>
              <w:rPr>
                <w:rFonts w:hint="eastAsia" w:ascii="宋体" w:hAnsi="宋体" w:cs="宋体"/>
                <w:color w:val="auto"/>
                <w:szCs w:val="21"/>
                <w:lang w:val="en-US" w:eastAsia="zh-CN"/>
              </w:rPr>
              <w:t>28</w:t>
            </w:r>
            <w:r>
              <w:rPr>
                <w:rFonts w:hint="eastAsia" w:ascii="宋体" w:hAnsi="宋体" w:eastAsia="宋体" w:cs="宋体"/>
                <w:color w:val="auto"/>
                <w:szCs w:val="21"/>
              </w:rPr>
              <w:t>分；在此基础上，标注 “※”的内容为重要条款，一项不满足扣</w:t>
            </w:r>
            <w:r>
              <w:rPr>
                <w:rFonts w:hint="eastAsia" w:ascii="宋体" w:hAnsi="宋体" w:cs="宋体"/>
                <w:color w:val="auto"/>
                <w:szCs w:val="21"/>
                <w:lang w:val="en-US" w:eastAsia="zh-CN"/>
              </w:rPr>
              <w:t>3</w:t>
            </w:r>
            <w:r>
              <w:rPr>
                <w:rFonts w:hint="eastAsia" w:ascii="宋体" w:hAnsi="宋体" w:eastAsia="宋体" w:cs="宋体"/>
                <w:color w:val="auto"/>
                <w:szCs w:val="21"/>
              </w:rPr>
              <w:t>分；未标注“※”的内容有一项不符合的则每项扣</w:t>
            </w:r>
            <w:r>
              <w:rPr>
                <w:rFonts w:hint="eastAsia" w:ascii="宋体" w:hAnsi="宋体" w:cs="宋体"/>
                <w:color w:val="auto"/>
                <w:szCs w:val="21"/>
                <w:lang w:val="en-US" w:eastAsia="zh-CN"/>
              </w:rPr>
              <w:t>1</w:t>
            </w:r>
            <w:r>
              <w:rPr>
                <w:rFonts w:hint="eastAsia" w:ascii="宋体" w:hAnsi="宋体" w:eastAsia="宋体" w:cs="宋体"/>
                <w:color w:val="auto"/>
                <w:szCs w:val="21"/>
              </w:rPr>
              <w:t>分；扣完为止。</w:t>
            </w:r>
          </w:p>
          <w:p>
            <w:pPr>
              <w:ind w:left="-4" w:leftChars="-2" w:firstLine="2" w:firstLineChars="1"/>
              <w:rPr>
                <w:rFonts w:hint="default" w:eastAsia="宋体" w:asciiTheme="minorEastAsia" w:hAnsiTheme="minorEastAsia" w:cstheme="minorEastAsia"/>
                <w:color w:val="auto"/>
                <w:spacing w:val="-6"/>
                <w:sz w:val="21"/>
                <w:szCs w:val="21"/>
                <w:lang w:val="en-US" w:eastAsia="zh-CN"/>
              </w:rPr>
            </w:pPr>
            <w:r>
              <w:rPr>
                <w:rFonts w:hint="eastAsia" w:ascii="宋体" w:hAnsi="宋体" w:cs="宋体"/>
                <w:b/>
                <w:bCs/>
                <w:color w:val="auto"/>
                <w:szCs w:val="21"/>
              </w:rPr>
              <w:t>备注：标注“※”的重要条款以提供技术需求中要求提供的证明材料为准。</w:t>
            </w:r>
          </w:p>
        </w:tc>
        <w:tc>
          <w:tcPr>
            <w:tcW w:w="664" w:type="dxa"/>
            <w:vAlign w:val="center"/>
          </w:tcPr>
          <w:p>
            <w:pPr>
              <w:jc w:val="center"/>
              <w:rPr>
                <w:rFonts w:hint="eastAsia" w:asciiTheme="minorEastAsia" w:hAnsiTheme="minorEastAsia" w:eastAsiaTheme="minorEastAsia" w:cstheme="minorEastAsia"/>
                <w:color w:val="auto"/>
                <w:spacing w:val="-6"/>
                <w:sz w:val="21"/>
                <w:szCs w:val="21"/>
              </w:rPr>
            </w:pPr>
            <w:r>
              <w:rPr>
                <w:rFonts w:hint="eastAsia" w:ascii="宋体" w:hAnsi="宋体" w:cs="宋体"/>
                <w:color w:val="auto"/>
                <w:spacing w:val="-6"/>
                <w:szCs w:val="21"/>
                <w:lang w:val="en-US" w:eastAsia="zh-CN"/>
              </w:rPr>
              <w:t>28</w:t>
            </w:r>
            <w:r>
              <w:rPr>
                <w:rFonts w:hint="eastAsia" w:ascii="宋体" w:hAnsi="宋体" w:eastAsia="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hint="eastAsia" w:asciiTheme="minorEastAsia" w:hAnsiTheme="minorEastAsia" w:eastAsiaTheme="minorEastAsia" w:cstheme="minorEastAsia"/>
                <w:color w:val="auto"/>
                <w:spacing w:val="-6"/>
                <w:sz w:val="21"/>
                <w:szCs w:val="21"/>
                <w:lang w:val="en-US" w:eastAsia="zh-CN"/>
              </w:rPr>
            </w:pPr>
          </w:p>
        </w:tc>
        <w:tc>
          <w:tcPr>
            <w:tcW w:w="1376" w:type="dxa"/>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交货方案</w:t>
            </w:r>
          </w:p>
        </w:tc>
        <w:tc>
          <w:tcPr>
            <w:tcW w:w="6512" w:type="dxa"/>
            <w:vAlign w:val="center"/>
          </w:tcPr>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根据</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Cs w:val="21"/>
              </w:rPr>
              <w:t>针对本项目提供的交货方案（包含项目对接、交货计划、货物运输、交货期保障措施、安装调试步骤及措施等）的合理性及及完整性进行评分：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方案全面详细、科学合理、可行，针对过程中关键点、难点描述详细且有保障的，</w:t>
            </w:r>
            <w:r>
              <w:rPr>
                <w:rFonts w:hint="eastAsia" w:ascii="宋体" w:hAnsi="宋体" w:eastAsia="宋体" w:cs="宋体"/>
                <w:color w:val="auto"/>
                <w:spacing w:val="-6"/>
                <w:szCs w:val="21"/>
              </w:rPr>
              <w:t>得</w:t>
            </w:r>
            <w:r>
              <w:rPr>
                <w:rFonts w:hint="eastAsia" w:ascii="宋体" w:hAnsi="宋体" w:cs="宋体"/>
                <w:color w:val="auto"/>
                <w:spacing w:val="-6"/>
                <w:szCs w:val="21"/>
                <w:lang w:val="en-US" w:eastAsia="zh-CN"/>
              </w:rPr>
              <w:t>3</w:t>
            </w:r>
            <w:r>
              <w:rPr>
                <w:rFonts w:hint="eastAsia" w:ascii="宋体" w:hAnsi="宋体" w:eastAsia="宋体" w:cs="宋体"/>
                <w:color w:val="auto"/>
                <w:spacing w:val="-6"/>
                <w:szCs w:val="21"/>
              </w:rPr>
              <w:t>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方案全面详细、合理、可行，针对过程中关键点、难点描述详细且有保障的，</w:t>
            </w:r>
            <w:r>
              <w:rPr>
                <w:rFonts w:hint="eastAsia" w:ascii="宋体" w:hAnsi="宋体" w:eastAsia="宋体" w:cs="宋体"/>
                <w:color w:val="auto"/>
                <w:spacing w:val="-6"/>
                <w:szCs w:val="21"/>
              </w:rPr>
              <w:t>得</w:t>
            </w:r>
            <w:r>
              <w:rPr>
                <w:rFonts w:hint="eastAsia" w:ascii="宋体" w:hAnsi="宋体" w:cs="宋体"/>
                <w:color w:val="auto"/>
                <w:spacing w:val="-6"/>
                <w:szCs w:val="21"/>
                <w:lang w:val="en-US" w:eastAsia="zh-CN"/>
              </w:rPr>
              <w:t>2</w:t>
            </w:r>
            <w:r>
              <w:rPr>
                <w:rFonts w:hint="eastAsia" w:ascii="宋体" w:hAnsi="宋体" w:eastAsia="宋体" w:cs="宋体"/>
                <w:color w:val="auto"/>
                <w:spacing w:val="-6"/>
                <w:szCs w:val="21"/>
              </w:rPr>
              <w:t>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方案基本详细、可行，针对过程中关键点、难点描述基本详细且有保障的，</w:t>
            </w:r>
            <w:r>
              <w:rPr>
                <w:rFonts w:hint="eastAsia" w:ascii="宋体" w:hAnsi="宋体" w:eastAsia="宋体" w:cs="宋体"/>
                <w:color w:val="auto"/>
                <w:spacing w:val="-6"/>
                <w:szCs w:val="21"/>
              </w:rPr>
              <w:t>得1分；</w:t>
            </w:r>
          </w:p>
          <w:p>
            <w:pPr>
              <w:ind w:left="-4" w:leftChars="-2" w:firstLine="2" w:firstLineChars="1"/>
              <w:rPr>
                <w:rFonts w:hint="eastAsia" w:ascii="宋体" w:hAnsi="宋体" w:cs="宋体"/>
                <w:b/>
                <w:bCs/>
                <w:color w:val="auto"/>
                <w:szCs w:val="21"/>
              </w:rPr>
            </w:pPr>
            <w:r>
              <w:rPr>
                <w:rFonts w:hint="eastAsia" w:ascii="宋体" w:hAnsi="宋体" w:eastAsia="宋体" w:cs="宋体"/>
                <w:color w:val="auto"/>
                <w:szCs w:val="21"/>
              </w:rPr>
              <w:t>未提供、不可行的，</w:t>
            </w:r>
            <w:r>
              <w:rPr>
                <w:rFonts w:hint="eastAsia" w:ascii="宋体" w:hAnsi="宋体" w:eastAsia="宋体" w:cs="宋体"/>
                <w:color w:val="auto"/>
                <w:spacing w:val="-6"/>
                <w:szCs w:val="21"/>
              </w:rPr>
              <w:t>得0分</w:t>
            </w:r>
            <w:r>
              <w:rPr>
                <w:rFonts w:hint="eastAsia" w:ascii="宋体" w:hAnsi="宋体" w:eastAsia="宋体" w:cs="宋体"/>
                <w:color w:val="auto"/>
                <w:szCs w:val="21"/>
              </w:rPr>
              <w:t>。</w:t>
            </w:r>
          </w:p>
        </w:tc>
        <w:tc>
          <w:tcPr>
            <w:tcW w:w="664" w:type="dxa"/>
            <w:vAlign w:val="center"/>
          </w:tcPr>
          <w:p>
            <w:pPr>
              <w:jc w:val="center"/>
              <w:rPr>
                <w:rFonts w:hint="default" w:ascii="宋体" w:hAnsi="宋体" w:eastAsia="宋体" w:cs="宋体"/>
                <w:color w:val="auto"/>
                <w:spacing w:val="-6"/>
                <w:szCs w:val="21"/>
                <w:lang w:val="en-US" w:eastAsia="zh-CN"/>
              </w:rPr>
            </w:pPr>
            <w:r>
              <w:rPr>
                <w:rFonts w:hint="eastAsia" w:ascii="宋体" w:hAnsi="宋体" w:cs="宋体"/>
                <w:color w:val="auto"/>
                <w:szCs w:val="21"/>
                <w:lang w:val="en-US" w:eastAsia="zh-CN"/>
              </w:rPr>
              <w:t>3</w:t>
            </w:r>
            <w:r>
              <w:rPr>
                <w:rFonts w:hint="eastAsia" w:ascii="宋体" w:hAnsi="宋体" w:eastAsia="宋体" w:cs="宋体"/>
                <w:color w:val="auto"/>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8" w:hRule="atLeast"/>
        </w:trPr>
        <w:tc>
          <w:tcPr>
            <w:tcW w:w="736" w:type="dxa"/>
            <w:vMerge w:val="continue"/>
            <w:vAlign w:val="center"/>
          </w:tcPr>
          <w:p>
            <w:pPr>
              <w:jc w:val="center"/>
              <w:rPr>
                <w:rFonts w:hint="eastAsia" w:asciiTheme="minorEastAsia" w:hAnsiTheme="minorEastAsia" w:eastAsiaTheme="minorEastAsia" w:cstheme="minorEastAsia"/>
                <w:color w:val="auto"/>
                <w:spacing w:val="-6"/>
                <w:sz w:val="21"/>
                <w:szCs w:val="21"/>
                <w:lang w:val="en-US" w:eastAsia="zh-CN"/>
              </w:rPr>
            </w:pPr>
          </w:p>
        </w:tc>
        <w:tc>
          <w:tcPr>
            <w:tcW w:w="1376" w:type="dxa"/>
            <w:vAlign w:val="center"/>
          </w:tcPr>
          <w:p>
            <w:pPr>
              <w:jc w:val="center"/>
              <w:rPr>
                <w:rFonts w:hint="eastAsia" w:ascii="宋体" w:hAnsi="宋体" w:cs="宋体"/>
                <w:color w:val="auto"/>
                <w:spacing w:val="-6"/>
                <w:szCs w:val="21"/>
              </w:rPr>
            </w:pPr>
            <w:r>
              <w:rPr>
                <w:rFonts w:hint="eastAsia" w:ascii="宋体" w:hAnsi="宋体" w:eastAsia="宋体" w:cs="宋体"/>
                <w:color w:val="auto"/>
                <w:szCs w:val="21"/>
              </w:rPr>
              <w:t>质量管控措施</w:t>
            </w:r>
          </w:p>
        </w:tc>
        <w:tc>
          <w:tcPr>
            <w:tcW w:w="6512" w:type="dxa"/>
            <w:vAlign w:val="center"/>
          </w:tcPr>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根据</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Cs w:val="21"/>
              </w:rPr>
              <w:t>针对本项目提供的质量管控措施（包含质量目标、质量管理制度、质量保证措施等）的合理性及及完整性进行评分：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方案全面详细、科学合理、可行，针对过程中关键点、难点描述详细且有保障的，</w:t>
            </w:r>
            <w:r>
              <w:rPr>
                <w:rFonts w:hint="eastAsia" w:ascii="宋体" w:hAnsi="宋体" w:eastAsia="宋体" w:cs="宋体"/>
                <w:color w:val="auto"/>
                <w:spacing w:val="-6"/>
                <w:szCs w:val="21"/>
              </w:rPr>
              <w:t>得</w:t>
            </w:r>
            <w:r>
              <w:rPr>
                <w:rFonts w:hint="eastAsia" w:ascii="宋体" w:hAnsi="宋体" w:cs="宋体"/>
                <w:color w:val="auto"/>
                <w:spacing w:val="-6"/>
                <w:szCs w:val="21"/>
                <w:lang w:val="en-US" w:eastAsia="zh-CN"/>
              </w:rPr>
              <w:t>3</w:t>
            </w:r>
            <w:r>
              <w:rPr>
                <w:rFonts w:hint="eastAsia" w:ascii="宋体" w:hAnsi="宋体" w:eastAsia="宋体" w:cs="宋体"/>
                <w:color w:val="auto"/>
                <w:spacing w:val="-6"/>
                <w:szCs w:val="21"/>
              </w:rPr>
              <w:t>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方案全面详细、合理、可行，针对过程中关键点、难点描述详细且有保障的，</w:t>
            </w:r>
            <w:r>
              <w:rPr>
                <w:rFonts w:hint="eastAsia" w:ascii="宋体" w:hAnsi="宋体" w:eastAsia="宋体" w:cs="宋体"/>
                <w:color w:val="auto"/>
                <w:spacing w:val="-6"/>
                <w:szCs w:val="21"/>
              </w:rPr>
              <w:t>得</w:t>
            </w:r>
            <w:r>
              <w:rPr>
                <w:rFonts w:hint="eastAsia" w:ascii="宋体" w:hAnsi="宋体" w:cs="宋体"/>
                <w:color w:val="auto"/>
                <w:spacing w:val="-6"/>
                <w:szCs w:val="21"/>
                <w:lang w:val="en-US" w:eastAsia="zh-CN"/>
              </w:rPr>
              <w:t>2</w:t>
            </w:r>
            <w:r>
              <w:rPr>
                <w:rFonts w:hint="eastAsia" w:ascii="宋体" w:hAnsi="宋体" w:eastAsia="宋体" w:cs="宋体"/>
                <w:color w:val="auto"/>
                <w:spacing w:val="-6"/>
                <w:szCs w:val="21"/>
              </w:rPr>
              <w:t>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方案基本详细、可行，针对过程中关键点、难点描述基本详细且有保障的，</w:t>
            </w:r>
            <w:r>
              <w:rPr>
                <w:rFonts w:hint="eastAsia" w:ascii="宋体" w:hAnsi="宋体" w:eastAsia="宋体" w:cs="宋体"/>
                <w:color w:val="auto"/>
                <w:spacing w:val="-6"/>
                <w:szCs w:val="21"/>
              </w:rPr>
              <w:t>得1分；</w:t>
            </w:r>
          </w:p>
          <w:p>
            <w:pPr>
              <w:ind w:left="-4" w:leftChars="-2" w:firstLine="2" w:firstLineChars="1"/>
              <w:rPr>
                <w:rFonts w:hint="eastAsia" w:ascii="宋体" w:hAnsi="宋体" w:eastAsia="宋体" w:cs="宋体"/>
                <w:color w:val="auto"/>
                <w:spacing w:val="-6"/>
                <w:kern w:val="0"/>
                <w:szCs w:val="21"/>
              </w:rPr>
            </w:pPr>
            <w:r>
              <w:rPr>
                <w:rFonts w:hint="eastAsia" w:ascii="宋体" w:hAnsi="宋体" w:eastAsia="宋体" w:cs="宋体"/>
                <w:color w:val="auto"/>
                <w:szCs w:val="21"/>
              </w:rPr>
              <w:t>未提供、不可行的，</w:t>
            </w:r>
            <w:r>
              <w:rPr>
                <w:rFonts w:hint="eastAsia" w:ascii="宋体" w:hAnsi="宋体" w:eastAsia="宋体" w:cs="宋体"/>
                <w:color w:val="auto"/>
                <w:spacing w:val="-6"/>
                <w:szCs w:val="21"/>
              </w:rPr>
              <w:t>得0分</w:t>
            </w:r>
            <w:r>
              <w:rPr>
                <w:rFonts w:hint="eastAsia" w:ascii="宋体" w:hAnsi="宋体" w:eastAsia="宋体" w:cs="宋体"/>
                <w:color w:val="auto"/>
                <w:szCs w:val="21"/>
              </w:rPr>
              <w:t>。</w:t>
            </w:r>
          </w:p>
        </w:tc>
        <w:tc>
          <w:tcPr>
            <w:tcW w:w="664" w:type="dxa"/>
            <w:vAlign w:val="center"/>
          </w:tcPr>
          <w:p>
            <w:pPr>
              <w:jc w:val="center"/>
              <w:rPr>
                <w:rFonts w:hint="default" w:ascii="宋体" w:hAnsi="宋体" w:eastAsia="宋体" w:cs="宋体"/>
                <w:color w:val="auto"/>
                <w:spacing w:val="-6"/>
                <w:szCs w:val="21"/>
                <w:lang w:val="en-US" w:eastAsia="zh-CN"/>
              </w:rPr>
            </w:pPr>
            <w:r>
              <w:rPr>
                <w:rFonts w:hint="eastAsia" w:ascii="宋体" w:hAnsi="宋体" w:cs="宋体"/>
                <w:color w:val="auto"/>
                <w:szCs w:val="21"/>
                <w:lang w:val="en-US" w:eastAsia="zh-CN"/>
              </w:rPr>
              <w:t>3</w:t>
            </w:r>
            <w:r>
              <w:rPr>
                <w:rFonts w:hint="eastAsia" w:ascii="宋体" w:hAnsi="宋体" w:eastAsia="宋体" w:cs="宋体"/>
                <w:color w:val="auto"/>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hint="eastAsia" w:asciiTheme="minorEastAsia" w:hAnsiTheme="minorEastAsia" w:eastAsiaTheme="minorEastAsia" w:cstheme="minorEastAsia"/>
                <w:color w:val="auto"/>
                <w:spacing w:val="-6"/>
                <w:sz w:val="21"/>
                <w:szCs w:val="21"/>
                <w:lang w:val="en-US" w:eastAsia="zh-CN"/>
              </w:rPr>
            </w:pPr>
          </w:p>
        </w:tc>
        <w:tc>
          <w:tcPr>
            <w:tcW w:w="1376" w:type="dxa"/>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技术培训</w:t>
            </w:r>
          </w:p>
        </w:tc>
        <w:tc>
          <w:tcPr>
            <w:tcW w:w="6512" w:type="dxa"/>
            <w:vAlign w:val="center"/>
          </w:tcPr>
          <w:p>
            <w:pPr>
              <w:widowControl/>
              <w:rPr>
                <w:rFonts w:ascii="宋体" w:hAnsi="宋体" w:eastAsia="宋体" w:cs="宋体"/>
                <w:color w:val="auto"/>
                <w:szCs w:val="21"/>
              </w:rPr>
            </w:pPr>
            <w:r>
              <w:rPr>
                <w:rFonts w:hint="eastAsia" w:ascii="宋体" w:hAnsi="宋体" w:eastAsia="宋体" w:cs="宋体"/>
                <w:color w:val="auto"/>
                <w:szCs w:val="21"/>
              </w:rPr>
              <w:t>根据</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Cs w:val="21"/>
              </w:rPr>
              <w:t>针对本项目提供的技术培训方案（包含培训人员、时间、内容等）的合理性及及完整性进行评分：</w:t>
            </w:r>
          </w:p>
          <w:p>
            <w:pPr>
              <w:widowControl/>
              <w:rPr>
                <w:rFonts w:ascii="宋体" w:hAnsi="宋体" w:eastAsia="宋体" w:cs="宋体"/>
                <w:color w:val="auto"/>
                <w:szCs w:val="21"/>
              </w:rPr>
            </w:pPr>
            <w:r>
              <w:rPr>
                <w:rFonts w:hint="eastAsia" w:ascii="宋体" w:hAnsi="宋体" w:eastAsia="宋体" w:cs="宋体"/>
                <w:color w:val="auto"/>
                <w:szCs w:val="21"/>
              </w:rPr>
              <w:t>科学、合理，针对性强，</w:t>
            </w:r>
            <w:r>
              <w:rPr>
                <w:rFonts w:hint="eastAsia" w:ascii="宋体" w:hAnsi="宋体" w:cs="宋体"/>
                <w:color w:val="auto"/>
                <w:szCs w:val="21"/>
                <w:lang w:val="en-US" w:eastAsia="zh-CN"/>
              </w:rPr>
              <w:t>3</w:t>
            </w:r>
            <w:r>
              <w:rPr>
                <w:rFonts w:hint="eastAsia" w:ascii="宋体" w:hAnsi="宋体" w:eastAsia="宋体" w:cs="宋体"/>
                <w:color w:val="auto"/>
                <w:szCs w:val="21"/>
              </w:rPr>
              <w:t>分；</w:t>
            </w:r>
          </w:p>
          <w:p>
            <w:pPr>
              <w:widowControl/>
              <w:rPr>
                <w:rFonts w:ascii="宋体" w:hAnsi="宋体" w:eastAsia="宋体" w:cs="宋体"/>
                <w:color w:val="auto"/>
                <w:szCs w:val="21"/>
              </w:rPr>
            </w:pPr>
            <w:r>
              <w:rPr>
                <w:rFonts w:hint="eastAsia" w:ascii="宋体" w:hAnsi="宋体" w:eastAsia="宋体" w:cs="宋体"/>
                <w:color w:val="auto"/>
                <w:szCs w:val="21"/>
              </w:rPr>
              <w:t>合理，可行，</w:t>
            </w:r>
            <w:r>
              <w:rPr>
                <w:rFonts w:hint="eastAsia" w:ascii="宋体" w:hAnsi="宋体" w:cs="宋体"/>
                <w:color w:val="auto"/>
                <w:szCs w:val="21"/>
                <w:lang w:val="en-US" w:eastAsia="zh-CN"/>
              </w:rPr>
              <w:t>2</w:t>
            </w:r>
            <w:r>
              <w:rPr>
                <w:rFonts w:hint="eastAsia" w:ascii="宋体" w:hAnsi="宋体" w:eastAsia="宋体" w:cs="宋体"/>
                <w:color w:val="auto"/>
                <w:szCs w:val="21"/>
              </w:rPr>
              <w:t>分；</w:t>
            </w:r>
          </w:p>
          <w:p>
            <w:pPr>
              <w:widowControl/>
              <w:rPr>
                <w:rFonts w:ascii="宋体" w:hAnsi="宋体" w:eastAsia="宋体" w:cs="宋体"/>
                <w:color w:val="auto"/>
                <w:szCs w:val="21"/>
              </w:rPr>
            </w:pPr>
            <w:r>
              <w:rPr>
                <w:rFonts w:hint="eastAsia" w:ascii="宋体" w:hAnsi="宋体" w:eastAsia="宋体" w:cs="宋体"/>
                <w:color w:val="auto"/>
                <w:szCs w:val="21"/>
              </w:rPr>
              <w:t>基本可行，1分；</w:t>
            </w:r>
          </w:p>
          <w:p>
            <w:pPr>
              <w:ind w:left="-4" w:leftChars="-2" w:firstLine="2" w:firstLineChars="1"/>
              <w:rPr>
                <w:rFonts w:hint="eastAsia" w:ascii="宋体" w:hAnsi="宋体" w:eastAsia="宋体" w:cs="宋体"/>
                <w:b/>
                <w:bCs/>
                <w:color w:val="auto"/>
                <w:szCs w:val="21"/>
              </w:rPr>
            </w:pPr>
            <w:r>
              <w:rPr>
                <w:rFonts w:hint="eastAsia" w:ascii="宋体" w:hAnsi="宋体" w:eastAsia="宋体" w:cs="宋体"/>
                <w:color w:val="auto"/>
                <w:szCs w:val="21"/>
              </w:rPr>
              <w:t>不可行，0 分。</w:t>
            </w:r>
          </w:p>
        </w:tc>
        <w:tc>
          <w:tcPr>
            <w:tcW w:w="664" w:type="dxa"/>
            <w:vAlign w:val="center"/>
          </w:tcPr>
          <w:p>
            <w:pPr>
              <w:ind w:left="-4" w:leftChars="-2" w:firstLine="1" w:firstLineChars="1"/>
              <w:rPr>
                <w:rFonts w:hint="eastAsia" w:ascii="宋体" w:hAnsi="宋体" w:eastAsia="宋体" w:cs="宋体"/>
                <w:color w:val="auto"/>
                <w:spacing w:val="-6"/>
                <w:szCs w:val="21"/>
              </w:rPr>
            </w:pPr>
            <w:r>
              <w:rPr>
                <w:rFonts w:hint="eastAsia" w:ascii="宋体" w:hAnsi="宋体" w:cs="宋体"/>
                <w:color w:val="auto"/>
                <w:spacing w:val="-6"/>
                <w:szCs w:val="21"/>
                <w:lang w:val="en-US" w:eastAsia="zh-CN"/>
              </w:rPr>
              <w:t>3</w:t>
            </w:r>
            <w:r>
              <w:rPr>
                <w:rFonts w:hint="eastAsia" w:ascii="宋体" w:hAnsi="宋体" w:eastAsia="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hint="eastAsia" w:asciiTheme="minorEastAsia" w:hAnsiTheme="minorEastAsia" w:eastAsiaTheme="minorEastAsia" w:cstheme="minorEastAsia"/>
                <w:color w:val="auto"/>
                <w:spacing w:val="-6"/>
                <w:sz w:val="21"/>
                <w:szCs w:val="21"/>
                <w:lang w:val="en-US" w:eastAsia="zh-CN"/>
              </w:rPr>
            </w:pPr>
          </w:p>
        </w:tc>
        <w:tc>
          <w:tcPr>
            <w:tcW w:w="1376" w:type="dxa"/>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售后方案</w:t>
            </w:r>
          </w:p>
        </w:tc>
        <w:tc>
          <w:tcPr>
            <w:tcW w:w="6512" w:type="dxa"/>
            <w:vAlign w:val="center"/>
          </w:tcPr>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根据</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Cs w:val="21"/>
              </w:rPr>
              <w:t>针对本项目提供的售后方案（包含服务标准和应急维修时间安排、质保期满后的承诺、备品备件、其它服务承诺等）的合理性及及完整性进行评分：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方案全面详细、科学合理、可行，针对过程中关键点、难点描述详细且有保障的，</w:t>
            </w:r>
            <w:r>
              <w:rPr>
                <w:rFonts w:hint="eastAsia" w:ascii="宋体" w:hAnsi="宋体" w:eastAsia="宋体" w:cs="宋体"/>
                <w:color w:val="auto"/>
                <w:spacing w:val="-6"/>
                <w:szCs w:val="21"/>
              </w:rPr>
              <w:t>得</w:t>
            </w:r>
            <w:r>
              <w:rPr>
                <w:rFonts w:hint="eastAsia" w:ascii="宋体" w:hAnsi="宋体" w:cs="宋体"/>
                <w:color w:val="auto"/>
                <w:spacing w:val="-6"/>
                <w:szCs w:val="21"/>
                <w:lang w:val="en-US" w:eastAsia="zh-CN"/>
              </w:rPr>
              <w:t>3</w:t>
            </w:r>
            <w:r>
              <w:rPr>
                <w:rFonts w:hint="eastAsia" w:ascii="宋体" w:hAnsi="宋体" w:eastAsia="宋体" w:cs="宋体"/>
                <w:color w:val="auto"/>
                <w:spacing w:val="-6"/>
                <w:szCs w:val="21"/>
              </w:rPr>
              <w:t>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方案全面详细、合理、可行，针对过程中关键点、难点描述详细且有保障的，</w:t>
            </w:r>
            <w:r>
              <w:rPr>
                <w:rFonts w:hint="eastAsia" w:ascii="宋体" w:hAnsi="宋体" w:eastAsia="宋体" w:cs="宋体"/>
                <w:color w:val="auto"/>
                <w:spacing w:val="-6"/>
                <w:szCs w:val="21"/>
              </w:rPr>
              <w:t>得</w:t>
            </w:r>
            <w:r>
              <w:rPr>
                <w:rFonts w:hint="eastAsia" w:ascii="宋体" w:hAnsi="宋体" w:cs="宋体"/>
                <w:color w:val="auto"/>
                <w:spacing w:val="-6"/>
                <w:szCs w:val="21"/>
                <w:lang w:val="en-US" w:eastAsia="zh-CN"/>
              </w:rPr>
              <w:t>2</w:t>
            </w:r>
            <w:r>
              <w:rPr>
                <w:rFonts w:hint="eastAsia" w:ascii="宋体" w:hAnsi="宋体" w:eastAsia="宋体" w:cs="宋体"/>
                <w:color w:val="auto"/>
                <w:spacing w:val="-6"/>
                <w:szCs w:val="21"/>
              </w:rPr>
              <w:t>分；</w:t>
            </w:r>
          </w:p>
          <w:p>
            <w:pPr>
              <w:ind w:left="-4" w:leftChars="-2" w:firstLine="2" w:firstLineChars="1"/>
              <w:rPr>
                <w:rFonts w:ascii="宋体" w:hAnsi="宋体" w:eastAsia="宋体" w:cs="宋体"/>
                <w:color w:val="auto"/>
                <w:szCs w:val="21"/>
              </w:rPr>
            </w:pPr>
            <w:r>
              <w:rPr>
                <w:rFonts w:hint="eastAsia" w:ascii="宋体" w:hAnsi="宋体" w:eastAsia="宋体" w:cs="宋体"/>
                <w:color w:val="auto"/>
                <w:szCs w:val="21"/>
              </w:rPr>
              <w:t>方案基本详细、可行，针对过程中关键点、难点描述基本详细且有保障的，</w:t>
            </w:r>
            <w:r>
              <w:rPr>
                <w:rFonts w:hint="eastAsia" w:ascii="宋体" w:hAnsi="宋体" w:eastAsia="宋体" w:cs="宋体"/>
                <w:color w:val="auto"/>
                <w:spacing w:val="-6"/>
                <w:szCs w:val="21"/>
              </w:rPr>
              <w:t>得1分；</w:t>
            </w:r>
          </w:p>
          <w:p>
            <w:pPr>
              <w:widowControl/>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未提供、不可行的，</w:t>
            </w:r>
            <w:r>
              <w:rPr>
                <w:rFonts w:hint="eastAsia" w:ascii="宋体" w:hAnsi="宋体" w:eastAsia="宋体" w:cs="宋体"/>
                <w:color w:val="auto"/>
                <w:spacing w:val="-6"/>
                <w:szCs w:val="21"/>
              </w:rPr>
              <w:t>得0分</w:t>
            </w:r>
            <w:r>
              <w:rPr>
                <w:rFonts w:hint="eastAsia" w:ascii="宋体" w:hAnsi="宋体" w:eastAsia="宋体" w:cs="宋体"/>
                <w:color w:val="auto"/>
                <w:szCs w:val="21"/>
              </w:rPr>
              <w:t>。</w:t>
            </w:r>
          </w:p>
        </w:tc>
        <w:tc>
          <w:tcPr>
            <w:tcW w:w="664" w:type="dxa"/>
            <w:vAlign w:val="center"/>
          </w:tcPr>
          <w:p>
            <w:pPr>
              <w:rPr>
                <w:rFonts w:hint="default" w:ascii="宋体" w:hAnsi="宋体" w:eastAsia="宋体" w:cs="宋体"/>
                <w:color w:val="auto"/>
                <w:spacing w:val="-6"/>
                <w:kern w:val="2"/>
                <w:sz w:val="21"/>
                <w:szCs w:val="21"/>
                <w:lang w:val="en-US" w:eastAsia="zh-CN" w:bidi="ar-SA"/>
              </w:rPr>
            </w:pPr>
            <w:r>
              <w:rPr>
                <w:rFonts w:hint="eastAsia" w:ascii="宋体" w:hAnsi="宋体" w:cs="宋体"/>
                <w:color w:val="auto"/>
                <w:spacing w:val="-6"/>
                <w:kern w:val="2"/>
                <w:sz w:val="21"/>
                <w:szCs w:val="21"/>
                <w:lang w:val="en-US" w:eastAsia="zh-CN" w:bidi="ar-SA"/>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总分</w:t>
            </w:r>
          </w:p>
        </w:tc>
        <w:tc>
          <w:tcPr>
            <w:tcW w:w="8552" w:type="dxa"/>
            <w:gridSpan w:val="3"/>
            <w:vAlign w:val="center"/>
          </w:tcPr>
          <w:p>
            <w:pPr>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lang w:val="en-US" w:eastAsia="zh-CN"/>
              </w:rPr>
              <w:t>100</w:t>
            </w:r>
          </w:p>
        </w:tc>
      </w:tr>
    </w:tbl>
    <w:p>
      <w:pPr>
        <w:spacing w:line="360" w:lineRule="auto"/>
        <w:rPr>
          <w:rFonts w:asciiTheme="minorEastAsia" w:hAnsiTheme="minorEastAsia" w:eastAsiaTheme="minorEastAsia" w:cstheme="minorEastAsia"/>
          <w:b/>
          <w:color w:val="auto"/>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color w:val="auto"/>
          <w:szCs w:val="21"/>
        </w:rPr>
        <w:br w:type="textWrapping"/>
      </w:r>
      <w:r>
        <w:rPr>
          <w:rFonts w:hint="eastAsia" w:asciiTheme="minorEastAsia" w:hAnsiTheme="minorEastAsia" w:eastAsiaTheme="minorEastAsia" w:cstheme="minorEastAsia"/>
          <w:b/>
          <w:color w:val="auto"/>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color w:val="auto"/>
          <w:szCs w:val="21"/>
        </w:rPr>
      </w:pPr>
      <w:bookmarkStart w:id="122" w:name="_Toc22897"/>
      <w:r>
        <w:rPr>
          <w:rFonts w:hint="eastAsia" w:asciiTheme="minorEastAsia" w:hAnsiTheme="minorEastAsia" w:eastAsiaTheme="minorEastAsia" w:cstheme="minorEastAsia"/>
          <w:b/>
          <w:color w:val="auto"/>
          <w:szCs w:val="21"/>
        </w:rPr>
        <w:t>四、评定办法</w:t>
      </w:r>
      <w:bookmarkEnd w:id="122"/>
    </w:p>
    <w:p>
      <w:pPr>
        <w:numPr>
          <w:ilvl w:val="3"/>
          <w:numId w:val="34"/>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初步审查标准</w:t>
      </w:r>
    </w:p>
    <w:p>
      <w:pPr>
        <w:numPr>
          <w:ilvl w:val="1"/>
          <w:numId w:val="35"/>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资格性审查标准：见评定办法前附表。</w:t>
      </w:r>
    </w:p>
    <w:p>
      <w:pPr>
        <w:numPr>
          <w:ilvl w:val="1"/>
          <w:numId w:val="35"/>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符合性审查标准：见评定办法前附表。</w:t>
      </w:r>
    </w:p>
    <w:p>
      <w:pPr>
        <w:numPr>
          <w:ilvl w:val="1"/>
          <w:numId w:val="35"/>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确定磋商供应商进行最后报价：见评定方法前附表。</w:t>
      </w:r>
    </w:p>
    <w:p>
      <w:pPr>
        <w:numPr>
          <w:ilvl w:val="3"/>
          <w:numId w:val="34"/>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评定方法：见评定办法前附表。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 分值构成</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（3）竞标报价：见评标办法前附表。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 评标基准价计算</w:t>
      </w:r>
    </w:p>
    <w:p>
      <w:pPr>
        <w:spacing w:line="360" w:lineRule="auto"/>
        <w:ind w:firstLine="840" w:firstLineChars="4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评标基准价计算方法：见评标办法前附表。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 评分标准</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（3）竞标报价评分标准：见评标办法前附表。</w:t>
      </w:r>
    </w:p>
    <w:p>
      <w:pPr>
        <w:numPr>
          <w:ilvl w:val="3"/>
          <w:numId w:val="34"/>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评定结果</w:t>
      </w:r>
    </w:p>
    <w:p>
      <w:pPr>
        <w:tabs>
          <w:tab w:val="left" w:pos="540"/>
        </w:tabs>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3.2完成评定后，</w:t>
      </w:r>
      <w:r>
        <w:rPr>
          <w:rFonts w:hint="eastAsia" w:asciiTheme="minorEastAsia" w:hAnsiTheme="minorEastAsia" w:eastAsiaTheme="minorEastAsia" w:cstheme="minorEastAsia"/>
          <w:snapToGrid w:val="0"/>
          <w:color w:val="auto"/>
          <w:kern w:val="0"/>
          <w:szCs w:val="21"/>
          <w:lang w:val="zh-CN"/>
        </w:rPr>
        <w:t>磋商小组</w:t>
      </w:r>
      <w:r>
        <w:rPr>
          <w:rFonts w:hint="eastAsia" w:asciiTheme="minorEastAsia" w:hAnsiTheme="minorEastAsia" w:eastAsiaTheme="minorEastAsia" w:cstheme="minorEastAsia"/>
          <w:color w:val="auto"/>
          <w:szCs w:val="21"/>
        </w:rPr>
        <w:t>须在评审结果推荐意见上共同签字。</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4"/>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其它</w:t>
      </w:r>
    </w:p>
    <w:p>
      <w:pPr>
        <w:spacing w:line="360" w:lineRule="auto"/>
        <w:ind w:firstLine="42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Pr>
        <w:rPr>
          <w:color w:val="auto"/>
        </w:rPr>
      </w:pPr>
    </w:p>
    <w:p>
      <w:pPr>
        <w:rPr>
          <w:color w:val="auto"/>
        </w:rPr>
      </w:pPr>
    </w:p>
    <w:p>
      <w:pPr>
        <w:rPr>
          <w:color w:val="auto"/>
        </w:rPr>
      </w:pPr>
    </w:p>
    <w:p>
      <w:pPr>
        <w:rPr>
          <w:color w:val="auto"/>
        </w:rPr>
      </w:pPr>
    </w:p>
    <w:p>
      <w:pPr>
        <w:spacing w:line="360" w:lineRule="auto"/>
        <w:outlineLvl w:val="1"/>
        <w:rPr>
          <w:rFonts w:asciiTheme="minorEastAsia" w:hAnsiTheme="minorEastAsia" w:eastAsiaTheme="minorEastAsia" w:cstheme="minorEastAsia"/>
          <w:b/>
          <w:color w:val="auto"/>
          <w:szCs w:val="21"/>
        </w:rPr>
      </w:pPr>
      <w:bookmarkStart w:id="123" w:name="_Toc21223"/>
      <w:r>
        <w:rPr>
          <w:rFonts w:hint="eastAsia" w:asciiTheme="minorEastAsia" w:hAnsiTheme="minorEastAsia" w:eastAsiaTheme="minorEastAsia" w:cstheme="minorEastAsia"/>
          <w:b/>
          <w:color w:val="auto"/>
          <w:szCs w:val="21"/>
        </w:rPr>
        <w:t>五、磋商及评审步骤</w:t>
      </w:r>
      <w:bookmarkEnd w:id="123"/>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1.验证委托代理人身份、响应文件密封检查</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主持人按以下程序进行：</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① 宣布会场纪律。</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color w:val="auto"/>
          <w:szCs w:val="28"/>
        </w:rPr>
      </w:pPr>
      <w:r>
        <w:rPr>
          <w:rFonts w:hint="eastAsia" w:asciiTheme="minorEastAsia" w:hAnsiTheme="minorEastAsia" w:eastAsiaTheme="minorEastAsia" w:cstheme="minorEastAsia"/>
          <w:color w:val="auto"/>
          <w:szCs w:val="28"/>
        </w:rPr>
        <w:t>③ 检查响应文件密封情况。</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2.资格和符合性审查</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3.供应商的澄清</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4.磋商及最后报价</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4.2</w:t>
      </w:r>
      <w:r>
        <w:rPr>
          <w:rFonts w:hint="eastAsia" w:asciiTheme="minorEastAsia" w:hAnsiTheme="minorEastAsia" w:eastAsiaTheme="minorEastAsia" w:cstheme="minorEastAsia"/>
          <w:b/>
          <w:color w:val="auto"/>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4.3</w:t>
      </w:r>
      <w:r>
        <w:rPr>
          <w:rFonts w:hint="eastAsia" w:asciiTheme="minorEastAsia" w:hAnsiTheme="minorEastAsia" w:eastAsiaTheme="minorEastAsia" w:cstheme="minorEastAsia"/>
          <w:b/>
          <w:color w:val="auto"/>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color w:val="auto"/>
          <w:szCs w:val="28"/>
        </w:rPr>
      </w:pPr>
      <w:r>
        <w:rPr>
          <w:rFonts w:hint="eastAsia" w:asciiTheme="minorEastAsia" w:hAnsiTheme="minorEastAsia" w:eastAsiaTheme="minorEastAsia" w:cstheme="minorEastAsia"/>
          <w:color w:val="auto"/>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bCs/>
          <w:color w:val="auto"/>
          <w:szCs w:val="28"/>
        </w:rPr>
        <w:t>4.6</w:t>
      </w:r>
      <w:r>
        <w:rPr>
          <w:rFonts w:hint="eastAsia" w:asciiTheme="minorEastAsia" w:hAnsiTheme="minorEastAsia" w:eastAsiaTheme="minorEastAsia" w:cstheme="minorEastAsia"/>
          <w:color w:val="auto"/>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5.详细评审</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color w:val="auto"/>
          <w:szCs w:val="28"/>
        </w:rPr>
        <w:br w:type="textWrapping"/>
      </w:r>
    </w:p>
    <w:p>
      <w:pPr>
        <w:spacing w:line="360" w:lineRule="auto"/>
        <w:ind w:left="420" w:leftChars="200"/>
        <w:rPr>
          <w:rFonts w:asciiTheme="minorEastAsia" w:hAnsiTheme="minorEastAsia" w:eastAsiaTheme="minorEastAsia" w:cstheme="minorEastAsia"/>
          <w:color w:val="auto"/>
          <w:szCs w:val="28"/>
        </w:rPr>
      </w:pPr>
    </w:p>
    <w:p>
      <w:pPr>
        <w:spacing w:line="360" w:lineRule="auto"/>
        <w:ind w:left="420" w:leftChars="200"/>
        <w:rPr>
          <w:rFonts w:asciiTheme="minorEastAsia" w:hAnsiTheme="minorEastAsia" w:eastAsiaTheme="minorEastAsia" w:cstheme="minorEastAsia"/>
          <w:color w:val="auto"/>
          <w:szCs w:val="28"/>
        </w:rPr>
      </w:pPr>
    </w:p>
    <w:p>
      <w:pPr>
        <w:pStyle w:val="3"/>
        <w:numPr>
          <w:ilvl w:val="0"/>
          <w:numId w:val="4"/>
        </w:numPr>
        <w:spacing w:line="240" w:lineRule="auto"/>
        <w:jc w:val="center"/>
        <w:rPr>
          <w:rFonts w:asciiTheme="minorEastAsia" w:hAnsiTheme="minorEastAsia" w:eastAsiaTheme="minorEastAsia" w:cstheme="minorEastAsia"/>
          <w:b w:val="0"/>
          <w:color w:val="auto"/>
          <w:kern w:val="0"/>
          <w:szCs w:val="21"/>
        </w:rPr>
        <w:sectPr>
          <w:pgSz w:w="11906" w:h="16838"/>
          <w:pgMar w:top="1417" w:right="1417" w:bottom="1417" w:left="1417" w:header="851" w:footer="992" w:gutter="0"/>
          <w:cols w:space="720" w:num="1"/>
          <w:docGrid w:type="lines" w:linePitch="312" w:charSpace="0"/>
        </w:sectPr>
      </w:pPr>
      <w:bookmarkStart w:id="124" w:name="_Toc211783328"/>
      <w:bookmarkStart w:id="125" w:name="_Toc318643471"/>
    </w:p>
    <w:bookmarkEnd w:id="124"/>
    <w:bookmarkEnd w:id="125"/>
    <w:p>
      <w:pPr>
        <w:pStyle w:val="3"/>
        <w:numPr>
          <w:ilvl w:val="0"/>
          <w:numId w:val="4"/>
        </w:numPr>
        <w:jc w:val="center"/>
        <w:rPr>
          <w:rFonts w:hint="eastAsia" w:asciiTheme="minorEastAsia" w:hAnsiTheme="minorEastAsia" w:eastAsiaTheme="minorEastAsia" w:cstheme="minorEastAsia"/>
          <w:color w:val="auto"/>
          <w:sz w:val="36"/>
          <w:szCs w:val="36"/>
        </w:rPr>
      </w:pPr>
      <w:bookmarkStart w:id="126" w:name="_Toc17689"/>
      <w:r>
        <w:rPr>
          <w:rFonts w:hint="eastAsia" w:asciiTheme="minorEastAsia" w:hAnsiTheme="minorEastAsia" w:eastAsiaTheme="minorEastAsia" w:cstheme="minorEastAsia"/>
          <w:color w:val="auto"/>
          <w:sz w:val="36"/>
          <w:szCs w:val="36"/>
        </w:rPr>
        <w:t>合同书</w:t>
      </w:r>
      <w:bookmarkEnd w:id="126"/>
    </w:p>
    <w:p>
      <w:pPr>
        <w:spacing w:line="360" w:lineRule="auto"/>
        <w:rPr>
          <w:rFonts w:hint="eastAsia" w:ascii="宋体" w:hAnsi="宋体" w:eastAsia="宋体" w:cs="宋体"/>
          <w:color w:val="auto"/>
          <w:sz w:val="24"/>
        </w:rPr>
      </w:pPr>
      <w:r>
        <w:rPr>
          <w:rFonts w:hint="eastAsia" w:ascii="宋体" w:hAnsi="宋体" w:eastAsia="宋体" w:cs="宋体"/>
          <w:color w:val="auto"/>
          <w:sz w:val="24"/>
        </w:rPr>
        <w:t>合同号：</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项目编号：</w:t>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lang w:val="en-US" w:eastAsia="zh-CN"/>
        </w:rPr>
        <w:t>项目名称：</w:t>
      </w:r>
      <w:r>
        <w:rPr>
          <w:rFonts w:hint="eastAsia" w:ascii="宋体" w:hAnsi="宋体" w:eastAsia="宋体" w:cs="宋体"/>
          <w:color w:val="auto"/>
          <w:sz w:val="24"/>
        </w:rPr>
        <w:t xml:space="preserve">                                                                                            </w:t>
      </w:r>
    </w:p>
    <w:p>
      <w:pPr>
        <w:spacing w:line="360" w:lineRule="auto"/>
        <w:ind w:firstLine="4080" w:firstLineChars="1700"/>
        <w:rPr>
          <w:rFonts w:hint="eastAsia" w:ascii="宋体" w:hAnsi="宋体" w:eastAsia="宋体" w:cs="宋体"/>
          <w:color w:val="auto"/>
          <w:sz w:val="24"/>
          <w:u w:val="single"/>
        </w:rPr>
      </w:pP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购货单位：</w:t>
      </w:r>
      <w:r>
        <w:rPr>
          <w:rFonts w:hint="eastAsia" w:ascii="宋体" w:hAnsi="宋体" w:eastAsia="宋体" w:cs="宋体"/>
          <w:b/>
          <w:color w:val="auto"/>
          <w:sz w:val="24"/>
          <w:u w:val="single"/>
        </w:rPr>
        <w:t>湖北工业大学</w:t>
      </w:r>
      <w:r>
        <w:rPr>
          <w:rFonts w:hint="eastAsia" w:ascii="宋体" w:hAnsi="宋体" w:eastAsia="宋体" w:cs="宋体"/>
          <w:b/>
          <w:color w:val="auto"/>
          <w:sz w:val="24"/>
        </w:rPr>
        <w:t>（以下简称甲方）</w:t>
      </w:r>
    </w:p>
    <w:p>
      <w:pPr>
        <w:spacing w:line="360" w:lineRule="auto"/>
        <w:rPr>
          <w:rFonts w:ascii="宋体" w:hAnsi="宋体" w:eastAsia="宋体" w:cs="宋体"/>
          <w:b/>
          <w:color w:val="auto"/>
          <w:sz w:val="24"/>
        </w:rPr>
      </w:pPr>
      <w:r>
        <w:rPr>
          <w:rFonts w:hint="eastAsia" w:ascii="宋体" w:hAnsi="宋体" w:eastAsia="宋体" w:cs="宋体"/>
          <w:b/>
          <w:color w:val="auto"/>
          <w:sz w:val="24"/>
        </w:rPr>
        <w:t>住所：武汉市洪山区南李路28号</w:t>
      </w:r>
    </w:p>
    <w:p>
      <w:pPr>
        <w:spacing w:line="360" w:lineRule="auto"/>
        <w:rPr>
          <w:rFonts w:ascii="宋体" w:hAnsi="宋体" w:eastAsia="宋体" w:cs="宋体"/>
          <w:b/>
          <w:color w:val="auto"/>
          <w:sz w:val="24"/>
        </w:rPr>
      </w:pPr>
      <w:r>
        <w:rPr>
          <w:rFonts w:hint="eastAsia" w:ascii="宋体" w:hAnsi="宋体" w:eastAsia="宋体" w:cs="宋体"/>
          <w:b/>
          <w:color w:val="auto"/>
          <w:sz w:val="24"/>
        </w:rPr>
        <w:t>法定代表人：彭育园</w:t>
      </w:r>
    </w:p>
    <w:p>
      <w:pPr>
        <w:spacing w:line="360" w:lineRule="auto"/>
        <w:rPr>
          <w:rFonts w:hint="eastAsia" w:ascii="宋体" w:hAnsi="宋体" w:eastAsia="宋体" w:cs="宋体"/>
          <w:b/>
          <w:color w:val="auto"/>
          <w:sz w:val="24"/>
        </w:rPr>
      </w:pP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供货单位：</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（以下简称乙方）</w:t>
      </w:r>
    </w:p>
    <w:p>
      <w:pPr>
        <w:spacing w:line="36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企业类型：（</w:t>
      </w:r>
      <w:r>
        <w:rPr>
          <w:rFonts w:hint="eastAsia" w:ascii="宋体" w:hAnsi="宋体" w:eastAsia="宋体" w:cs="宋体"/>
          <w:b/>
          <w:color w:val="auto"/>
          <w:sz w:val="24"/>
          <w:lang w:val="en-US" w:eastAsia="zh-CN"/>
        </w:rPr>
        <w:sym w:font="Wingdings 2" w:char="00A3"/>
      </w:r>
      <w:r>
        <w:rPr>
          <w:rFonts w:hint="eastAsia" w:ascii="宋体" w:hAnsi="宋体" w:eastAsia="宋体" w:cs="宋体"/>
          <w:b/>
          <w:color w:val="auto"/>
          <w:sz w:val="24"/>
          <w:lang w:val="en-US" w:eastAsia="zh-CN"/>
        </w:rPr>
        <w:t>大型、</w:t>
      </w:r>
      <w:r>
        <w:rPr>
          <w:rFonts w:hint="eastAsia" w:ascii="宋体" w:hAnsi="宋体" w:eastAsia="宋体" w:cs="宋体"/>
          <w:b/>
          <w:color w:val="auto"/>
          <w:sz w:val="24"/>
          <w:lang w:val="en-US" w:eastAsia="zh-CN"/>
        </w:rPr>
        <w:sym w:font="Wingdings 2" w:char="00A3"/>
      </w:r>
      <w:r>
        <w:rPr>
          <w:rFonts w:hint="eastAsia" w:ascii="宋体" w:hAnsi="宋体" w:eastAsia="宋体" w:cs="宋体"/>
          <w:b/>
          <w:color w:val="auto"/>
          <w:sz w:val="24"/>
          <w:lang w:val="en-US" w:eastAsia="zh-CN"/>
        </w:rPr>
        <w:t>中型、</w:t>
      </w:r>
      <w:r>
        <w:rPr>
          <w:rFonts w:hint="eastAsia" w:ascii="宋体" w:hAnsi="宋体" w:eastAsia="宋体" w:cs="宋体"/>
          <w:b/>
          <w:color w:val="auto"/>
          <w:sz w:val="24"/>
          <w:lang w:val="en-US" w:eastAsia="zh-CN"/>
        </w:rPr>
        <w:sym w:font="Wingdings 2" w:char="00A3"/>
      </w:r>
      <w:r>
        <w:rPr>
          <w:rFonts w:hint="eastAsia" w:ascii="宋体" w:hAnsi="宋体" w:eastAsia="宋体" w:cs="宋体"/>
          <w:b/>
          <w:color w:val="auto"/>
          <w:sz w:val="24"/>
          <w:lang w:val="en-US" w:eastAsia="zh-CN"/>
        </w:rPr>
        <w:t>小型、</w:t>
      </w:r>
      <w:r>
        <w:rPr>
          <w:rFonts w:hint="eastAsia" w:ascii="宋体" w:hAnsi="宋体" w:eastAsia="宋体" w:cs="宋体"/>
          <w:b/>
          <w:color w:val="auto"/>
          <w:sz w:val="24"/>
          <w:lang w:val="en-US" w:eastAsia="zh-CN"/>
        </w:rPr>
        <w:sym w:font="Wingdings 2" w:char="00A3"/>
      </w:r>
      <w:r>
        <w:rPr>
          <w:rFonts w:hint="eastAsia" w:ascii="宋体" w:hAnsi="宋体" w:eastAsia="宋体" w:cs="宋体"/>
          <w:b/>
          <w:color w:val="auto"/>
          <w:sz w:val="24"/>
          <w:lang w:val="en-US" w:eastAsia="zh-CN"/>
        </w:rPr>
        <w:t>微型）</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住所：</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法定代表人：</w:t>
      </w:r>
    </w:p>
    <w:p>
      <w:pPr>
        <w:spacing w:line="360" w:lineRule="auto"/>
        <w:rPr>
          <w:rFonts w:hint="eastAsia" w:ascii="宋体" w:hAnsi="宋体" w:eastAsia="宋体" w:cs="宋体"/>
          <w:b/>
          <w:color w:val="auto"/>
          <w:sz w:val="24"/>
        </w:rPr>
      </w:pPr>
    </w:p>
    <w:p>
      <w:pPr>
        <w:widowControl w:val="0"/>
        <w:spacing w:line="360"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甲乙双方根据《中华人民共和国民</w:t>
      </w:r>
      <w:r>
        <w:rPr>
          <w:rFonts w:ascii="宋体" w:hAnsi="宋体" w:eastAsia="宋体" w:cs="宋体"/>
          <w:color w:val="auto"/>
          <w:kern w:val="2"/>
          <w:sz w:val="24"/>
          <w:szCs w:val="24"/>
          <w:lang w:val="en-US" w:eastAsia="zh-CN" w:bidi="ar-SA"/>
        </w:rPr>
        <w:t>法典</w:t>
      </w:r>
      <w:r>
        <w:rPr>
          <w:rFonts w:hint="eastAsia" w:ascii="宋体" w:hAnsi="宋体" w:eastAsia="宋体" w:cs="宋体"/>
          <w:color w:val="auto"/>
          <w:kern w:val="2"/>
          <w:sz w:val="24"/>
          <w:szCs w:val="24"/>
          <w:lang w:val="en-US" w:eastAsia="zh-CN" w:bidi="ar-SA"/>
        </w:rPr>
        <w:t>》相关规定，为增强双方的责任，经甲乙双方协商一致，特订立本合同，以资甲乙双方共同遵守。</w:t>
      </w:r>
    </w:p>
    <w:p>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color w:val="auto"/>
          <w:sz w:val="24"/>
        </w:rPr>
        <w:t>一、货物名称、规格、配置、数量及价格如下</w:t>
      </w:r>
      <w:r>
        <w:rPr>
          <w:rFonts w:hint="eastAsia" w:ascii="宋体" w:hAnsi="宋体" w:eastAsia="宋体" w:cs="宋体"/>
          <w:b/>
          <w:bCs/>
          <w:color w:val="auto"/>
          <w:sz w:val="24"/>
        </w:rPr>
        <w:t>:</w:t>
      </w:r>
    </w:p>
    <w:tbl>
      <w:tblPr>
        <w:tblStyle w:val="28"/>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b/>
                <w:bCs/>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b/>
                <w:bCs/>
                <w:snapToGrid w:val="0"/>
                <w:color w:val="auto"/>
                <w:kern w:val="0"/>
                <w:sz w:val="24"/>
              </w:rPr>
            </w:pPr>
            <w:r>
              <w:rPr>
                <w:rFonts w:hint="eastAsia" w:ascii="宋体" w:hAnsi="宋体" w:eastAsia="宋体" w:cs="宋体"/>
                <w:b/>
                <w:color w:val="auto"/>
                <w:sz w:val="24"/>
              </w:rPr>
              <w:t>货物</w:t>
            </w:r>
            <w:r>
              <w:rPr>
                <w:rFonts w:hint="eastAsia" w:ascii="宋体" w:hAnsi="宋体" w:eastAsia="宋体" w:cs="宋体"/>
                <w:b/>
                <w:bCs/>
                <w:snapToGrid w:val="0"/>
                <w:color w:val="auto"/>
                <w:kern w:val="0"/>
                <w:sz w:val="24"/>
              </w:rPr>
              <w:t>名称</w:t>
            </w: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bCs/>
                <w:snapToGrid w:val="0"/>
                <w:color w:val="auto"/>
                <w:kern w:val="0"/>
                <w:sz w:val="24"/>
              </w:rPr>
            </w:pPr>
            <w:r>
              <w:rPr>
                <w:rFonts w:hint="eastAsia" w:ascii="宋体" w:hAnsi="宋体" w:eastAsia="宋体" w:cs="宋体"/>
                <w:b/>
                <w:bCs/>
                <w:snapToGrid w:val="0"/>
                <w:color w:val="auto"/>
                <w:kern w:val="0"/>
                <w:sz w:val="24"/>
              </w:rPr>
              <w:t>品牌</w:t>
            </w: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bCs/>
                <w:snapToGrid w:val="0"/>
                <w:color w:val="auto"/>
                <w:kern w:val="0"/>
                <w:sz w:val="24"/>
              </w:rPr>
            </w:pPr>
            <w:r>
              <w:rPr>
                <w:rFonts w:hint="eastAsia" w:ascii="宋体" w:hAnsi="宋体" w:eastAsia="宋体" w:cs="宋体"/>
                <w:b/>
                <w:bCs/>
                <w:snapToGrid w:val="0"/>
                <w:color w:val="auto"/>
                <w:kern w:val="0"/>
                <w:sz w:val="24"/>
              </w:rPr>
              <w:t>型号</w:t>
            </w:r>
          </w:p>
        </w:tc>
        <w:tc>
          <w:tcPr>
            <w:tcW w:w="270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bCs/>
                <w:snapToGrid w:val="0"/>
                <w:color w:val="auto"/>
                <w:kern w:val="0"/>
                <w:sz w:val="24"/>
              </w:rPr>
            </w:pPr>
            <w:r>
              <w:rPr>
                <w:rFonts w:hint="eastAsia" w:ascii="宋体" w:hAnsi="宋体" w:eastAsia="宋体" w:cs="宋体"/>
                <w:b/>
                <w:bCs/>
                <w:snapToGrid w:val="0"/>
                <w:color w:val="auto"/>
                <w:kern w:val="0"/>
                <w:sz w:val="24"/>
              </w:rPr>
              <w:t>配置/技术参数</w:t>
            </w: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bCs/>
                <w:snapToGrid w:val="0"/>
                <w:color w:val="auto"/>
                <w:kern w:val="0"/>
                <w:sz w:val="24"/>
              </w:rPr>
            </w:pPr>
            <w:r>
              <w:rPr>
                <w:rFonts w:hint="eastAsia" w:ascii="宋体" w:hAnsi="宋体" w:eastAsia="宋体" w:cs="宋体"/>
                <w:b/>
                <w:bCs/>
                <w:snapToGrid w:val="0"/>
                <w:color w:val="auto"/>
                <w:kern w:val="0"/>
                <w:sz w:val="24"/>
              </w:rPr>
              <w:t>数量</w:t>
            </w:r>
          </w:p>
        </w:tc>
        <w:tc>
          <w:tcPr>
            <w:tcW w:w="1301"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bCs/>
                <w:snapToGrid w:val="0"/>
                <w:color w:val="auto"/>
                <w:kern w:val="0"/>
                <w:sz w:val="24"/>
              </w:rPr>
            </w:pPr>
            <w:r>
              <w:rPr>
                <w:rFonts w:hint="eastAsia" w:ascii="宋体" w:hAnsi="宋体" w:eastAsia="宋体" w:cs="宋体"/>
                <w:b/>
                <w:bCs/>
                <w:snapToGrid w:val="0"/>
                <w:color w:val="auto"/>
                <w:kern w:val="0"/>
                <w:sz w:val="24"/>
              </w:rPr>
              <w:t>单价（元）</w:t>
            </w:r>
          </w:p>
        </w:tc>
        <w:tc>
          <w:tcPr>
            <w:tcW w:w="14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bCs/>
                <w:snapToGrid w:val="0"/>
                <w:color w:val="auto"/>
                <w:kern w:val="0"/>
                <w:sz w:val="24"/>
              </w:rPr>
            </w:pPr>
            <w:r>
              <w:rPr>
                <w:rFonts w:hint="eastAsia" w:ascii="宋体" w:hAnsi="宋体" w:eastAsia="宋体" w:cs="宋体"/>
                <w:b/>
                <w:bCs/>
                <w:snapToGrid w:val="0"/>
                <w:color w:val="auto"/>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adjustRightInd w:val="0"/>
              <w:snapToGrid w:val="0"/>
              <w:spacing w:line="360" w:lineRule="auto"/>
              <w:jc w:val="center"/>
              <w:rPr>
                <w:rFonts w:hint="eastAsia" w:ascii="宋体" w:hAnsi="宋体" w:eastAsia="宋体" w:cs="宋体"/>
                <w:snapToGrid w:val="0"/>
                <w:color w:val="auto"/>
                <w:kern w:val="0"/>
                <w:sz w:val="24"/>
              </w:rPr>
            </w:pPr>
          </w:p>
        </w:tc>
        <w:tc>
          <w:tcPr>
            <w:tcW w:w="1369" w:type="dxa"/>
            <w:noWrap w:val="0"/>
            <w:vAlign w:val="center"/>
          </w:tcPr>
          <w:p>
            <w:pPr>
              <w:adjustRightInd w:val="0"/>
              <w:snapToGrid w:val="0"/>
              <w:spacing w:line="360" w:lineRule="auto"/>
              <w:jc w:val="center"/>
              <w:rPr>
                <w:rFonts w:hint="eastAsia" w:ascii="宋体" w:hAnsi="宋体" w:eastAsia="宋体" w:cs="宋体"/>
                <w:snapToGrid w:val="0"/>
                <w:color w:val="auto"/>
                <w:kern w:val="0"/>
                <w:sz w:val="24"/>
              </w:rPr>
            </w:pPr>
          </w:p>
        </w:tc>
        <w:tc>
          <w:tcPr>
            <w:tcW w:w="806" w:type="dxa"/>
            <w:noWrap w:val="0"/>
            <w:vAlign w:val="center"/>
          </w:tcPr>
          <w:p>
            <w:pPr>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center"/>
          </w:tcPr>
          <w:p>
            <w:pPr>
              <w:adjustRightInd w:val="0"/>
              <w:snapToGrid w:val="0"/>
              <w:spacing w:line="360" w:lineRule="auto"/>
              <w:rPr>
                <w:rFonts w:hint="eastAsia" w:ascii="宋体" w:hAnsi="宋体" w:eastAsia="宋体" w:cs="宋体"/>
                <w:snapToGrid w:val="0"/>
                <w:color w:val="auto"/>
                <w:kern w:val="0"/>
                <w:sz w:val="24"/>
              </w:rPr>
            </w:pPr>
          </w:p>
        </w:tc>
        <w:tc>
          <w:tcPr>
            <w:tcW w:w="720" w:type="dxa"/>
            <w:noWrap w:val="0"/>
            <w:vAlign w:val="center"/>
          </w:tcPr>
          <w:p>
            <w:pPr>
              <w:adjustRightInd w:val="0"/>
              <w:snapToGrid w:val="0"/>
              <w:spacing w:line="360" w:lineRule="auto"/>
              <w:jc w:val="center"/>
              <w:rPr>
                <w:rFonts w:hint="eastAsia" w:ascii="宋体" w:hAnsi="宋体" w:eastAsia="宋体" w:cs="宋体"/>
                <w:snapToGrid w:val="0"/>
                <w:color w:val="auto"/>
                <w:kern w:val="0"/>
                <w:sz w:val="24"/>
              </w:rPr>
            </w:pPr>
          </w:p>
        </w:tc>
        <w:tc>
          <w:tcPr>
            <w:tcW w:w="1301" w:type="dxa"/>
            <w:noWrap w:val="0"/>
            <w:vAlign w:val="center"/>
          </w:tcPr>
          <w:p>
            <w:pPr>
              <w:adjustRightInd w:val="0"/>
              <w:snapToGrid w:val="0"/>
              <w:spacing w:line="360" w:lineRule="auto"/>
              <w:rPr>
                <w:rFonts w:hint="eastAsia" w:ascii="宋体" w:hAnsi="宋体" w:eastAsia="宋体" w:cs="宋体"/>
                <w:snapToGrid w:val="0"/>
                <w:color w:val="auto"/>
                <w:kern w:val="0"/>
                <w:sz w:val="24"/>
              </w:rPr>
            </w:pPr>
          </w:p>
        </w:tc>
        <w:tc>
          <w:tcPr>
            <w:tcW w:w="1440" w:type="dxa"/>
            <w:noWrap w:val="0"/>
            <w:vAlign w:val="center"/>
          </w:tcPr>
          <w:p>
            <w:pPr>
              <w:adjustRightInd w:val="0"/>
              <w:snapToGrid w:val="0"/>
              <w:spacing w:line="360" w:lineRule="auto"/>
              <w:rPr>
                <w:rFonts w:hint="eastAsia" w:ascii="宋体" w:hAnsi="宋体" w:eastAsia="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1301"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c>
          <w:tcPr>
            <w:tcW w:w="1440"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snapToGrid w:val="0"/>
                <w:color w:val="auto"/>
                <w:kern w:val="0"/>
                <w:sz w:val="24"/>
              </w:rPr>
            </w:pPr>
          </w:p>
        </w:tc>
        <w:tc>
          <w:tcPr>
            <w:tcW w:w="2700"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b w:val="0"/>
                <w:bCs w:val="0"/>
                <w:snapToGrid w:val="0"/>
                <w:color w:val="auto"/>
                <w:kern w:val="0"/>
                <w:sz w:val="24"/>
              </w:rPr>
            </w:pP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color w:val="auto"/>
                <w:kern w:val="0"/>
                <w:sz w:val="24"/>
              </w:rPr>
            </w:pPr>
          </w:p>
        </w:tc>
        <w:tc>
          <w:tcPr>
            <w:tcW w:w="1301"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b w:val="0"/>
                <w:bCs w:val="0"/>
                <w:snapToGrid w:val="0"/>
                <w:color w:val="auto"/>
                <w:kern w:val="0"/>
                <w:sz w:val="24"/>
              </w:rPr>
            </w:pPr>
          </w:p>
        </w:tc>
        <w:tc>
          <w:tcPr>
            <w:tcW w:w="1440" w:type="dxa"/>
            <w:noWrap w:val="0"/>
            <w:vAlign w:val="center"/>
          </w:tcPr>
          <w:p>
            <w:pPr>
              <w:kinsoku w:val="0"/>
              <w:overflowPunct w:val="0"/>
              <w:autoSpaceDE w:val="0"/>
              <w:autoSpaceDN w:val="0"/>
              <w:adjustRightInd w:val="0"/>
              <w:snapToGrid w:val="0"/>
              <w:spacing w:line="360" w:lineRule="auto"/>
              <w:rPr>
                <w:rFonts w:hint="eastAsia" w:ascii="宋体" w:hAnsi="宋体" w:eastAsia="宋体" w:cs="宋体"/>
                <w:b w:val="0"/>
                <w:bCs w:val="0"/>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1" w:type="dxa"/>
            <w:gridSpan w:val="8"/>
            <w:noWrap w:val="0"/>
            <w:vAlign w:val="center"/>
          </w:tcPr>
          <w:p>
            <w:pPr>
              <w:kinsoku w:val="0"/>
              <w:overflowPunct w:val="0"/>
              <w:autoSpaceDE w:val="0"/>
              <w:autoSpaceDN w:val="0"/>
              <w:adjustRightInd w:val="0"/>
              <w:snapToGrid w:val="0"/>
              <w:spacing w:line="360" w:lineRule="auto"/>
              <w:rPr>
                <w:rFonts w:hint="eastAsia" w:ascii="宋体" w:hAnsi="宋体" w:eastAsia="宋体" w:cs="宋体"/>
                <w:b/>
                <w:color w:val="auto"/>
                <w:kern w:val="0"/>
                <w:sz w:val="24"/>
              </w:rPr>
            </w:pPr>
            <w:r>
              <w:rPr>
                <w:rFonts w:hint="eastAsia" w:ascii="宋体" w:hAnsi="宋体" w:eastAsia="宋体" w:cs="宋体"/>
                <w:snapToGrid w:val="0"/>
                <w:color w:val="auto"/>
                <w:kern w:val="0"/>
                <w:sz w:val="24"/>
              </w:rPr>
              <w:t>合计</w:t>
            </w:r>
            <w:r>
              <w:rPr>
                <w:rFonts w:hint="eastAsia" w:ascii="宋体" w:hAnsi="宋体" w:eastAsia="宋体" w:cs="宋体"/>
                <w:b/>
                <w:color w:val="auto"/>
                <w:sz w:val="24"/>
              </w:rPr>
              <w:t xml:space="preserve">（人民币）:          </w:t>
            </w:r>
            <w:r>
              <w:rPr>
                <w:rFonts w:hint="eastAsia" w:ascii="宋体" w:hAnsi="宋体" w:eastAsia="宋体" w:cs="宋体"/>
                <w:b/>
                <w:color w:val="auto"/>
                <w:kern w:val="0"/>
                <w:sz w:val="24"/>
              </w:rPr>
              <w:t>元整（￥：    元）</w:t>
            </w:r>
          </w:p>
        </w:tc>
      </w:tr>
    </w:tbl>
    <w:p>
      <w:pPr>
        <w:spacing w:line="360" w:lineRule="auto"/>
        <w:ind w:left="359" w:leftChars="171"/>
        <w:rPr>
          <w:rFonts w:hint="eastAsia" w:ascii="宋体" w:hAnsi="宋体" w:eastAsia="宋体" w:cs="宋体"/>
          <w:b/>
          <w:color w:val="auto"/>
          <w:sz w:val="24"/>
        </w:rPr>
      </w:pPr>
      <w:r>
        <w:rPr>
          <w:rFonts w:hint="eastAsia" w:ascii="宋体" w:hAnsi="宋体" w:eastAsia="宋体" w:cs="宋体"/>
          <w:b/>
          <w:color w:val="auto"/>
          <w:sz w:val="24"/>
        </w:rPr>
        <w:t>技术负责人（签字）：</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      部门负责人（签字）：</w:t>
      </w:r>
      <w:r>
        <w:rPr>
          <w:rFonts w:hint="eastAsia" w:ascii="宋体" w:hAnsi="宋体" w:eastAsia="宋体" w:cs="宋体"/>
          <w:b/>
          <w:color w:val="auto"/>
          <w:sz w:val="24"/>
          <w:u w:val="single"/>
        </w:rPr>
        <w:t xml:space="preserve">                 </w:t>
      </w:r>
    </w:p>
    <w:p>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二、合同总金额（人民币）:          </w:t>
      </w:r>
      <w:r>
        <w:rPr>
          <w:rFonts w:hint="eastAsia" w:ascii="宋体" w:hAnsi="宋体" w:eastAsia="宋体" w:cs="宋体"/>
          <w:b/>
          <w:color w:val="auto"/>
          <w:kern w:val="0"/>
          <w:sz w:val="24"/>
        </w:rPr>
        <w:t>元整（￥：  元）</w:t>
      </w:r>
      <w:r>
        <w:rPr>
          <w:rFonts w:hint="eastAsia" w:ascii="宋体" w:hAnsi="宋体" w:eastAsia="宋体" w:cs="宋体"/>
          <w:b/>
          <w:color w:val="auto"/>
          <w:sz w:val="24"/>
        </w:rPr>
        <w:t>。含增值税、运费、安装调试费等，甲方无需支付其他费用。</w:t>
      </w:r>
    </w:p>
    <w:p>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三、交货：</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1.交货时间：乙方应在20  年 月  日前完成全部货物（含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）的安装调试工作。</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2.交货地点：甲方指定地点。</w:t>
      </w:r>
    </w:p>
    <w:p>
      <w:pPr>
        <w:spacing w:line="360" w:lineRule="auto"/>
        <w:ind w:left="359" w:leftChars="171" w:firstLine="480" w:firstLineChars="200"/>
        <w:rPr>
          <w:rFonts w:hint="eastAsia" w:ascii="宋体" w:hAnsi="宋体" w:eastAsia="宋体" w:cs="宋体"/>
          <w:color w:val="auto"/>
          <w:sz w:val="24"/>
        </w:rPr>
      </w:pPr>
      <w:r>
        <w:rPr>
          <w:rFonts w:hint="eastAsia" w:ascii="宋体" w:hAnsi="宋体" w:eastAsia="宋体" w:cs="宋体"/>
          <w:color w:val="auto"/>
          <w:sz w:val="24"/>
        </w:rPr>
        <w:t>3.交货方式：乙方负责安排运输到甲方指定地点。</w:t>
      </w:r>
      <w:r>
        <w:rPr>
          <w:rFonts w:hint="eastAsia" w:ascii="宋体" w:hAnsi="宋体" w:eastAsia="宋体" w:cs="宋体"/>
          <w:bCs/>
          <w:color w:val="auto"/>
          <w:sz w:val="24"/>
        </w:rPr>
        <w:t>乙方承担</w:t>
      </w:r>
      <w:r>
        <w:rPr>
          <w:rFonts w:hint="eastAsia" w:ascii="宋体" w:hAnsi="宋体" w:eastAsia="宋体" w:cs="宋体"/>
          <w:color w:val="auto"/>
          <w:sz w:val="24"/>
        </w:rPr>
        <w:t>货物（含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宋体"/>
          <w:bCs/>
          <w:color w:val="auto"/>
          <w:sz w:val="24"/>
        </w:rPr>
        <w:t>交付甲方前的一切费用及风险（本条款所指交付是乙方将货物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宋体"/>
          <w:bCs/>
          <w:color w:val="auto"/>
          <w:sz w:val="24"/>
        </w:rPr>
        <w:t>运送至甲方指定地点，并经甲方验收合格并出具验收合格证明后视为交付）。</w:t>
      </w:r>
    </w:p>
    <w:p>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4.乙方所提供货物（含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）必须为全新无瑕疵。</w:t>
      </w:r>
    </w:p>
    <w:p>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5.交货时，乙方应将货物（含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）的产品说明书、使用说明书，出厂合格证、用户手册、保修手册等单证交付给甲方，前述单证未交付完整的，视为未完全交货。</w:t>
      </w:r>
    </w:p>
    <w:p>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6.如果乙</w:t>
      </w:r>
      <w:r>
        <w:rPr>
          <w:rFonts w:ascii="宋体" w:hAnsi="宋体" w:eastAsia="宋体" w:cs="宋体"/>
          <w:color w:val="auto"/>
          <w:sz w:val="24"/>
        </w:rPr>
        <w:t>方提供</w:t>
      </w:r>
      <w:r>
        <w:rPr>
          <w:rFonts w:hint="eastAsia" w:ascii="宋体" w:hAnsi="宋体" w:eastAsia="宋体" w:cs="宋体"/>
          <w:color w:val="auto"/>
          <w:sz w:val="24"/>
        </w:rPr>
        <w:t>货物（含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）属于国</w:t>
      </w:r>
      <w:r>
        <w:rPr>
          <w:rFonts w:ascii="宋体" w:hAnsi="宋体" w:eastAsia="宋体" w:cs="宋体"/>
          <w:color w:val="auto"/>
          <w:sz w:val="24"/>
        </w:rPr>
        <w:t>家</w:t>
      </w:r>
      <w:r>
        <w:rPr>
          <w:rFonts w:hint="eastAsia" w:ascii="宋体" w:hAnsi="宋体" w:eastAsia="宋体" w:cs="宋体"/>
          <w:color w:val="auto"/>
          <w:sz w:val="24"/>
        </w:rPr>
        <w:t>或</w:t>
      </w:r>
      <w:r>
        <w:rPr>
          <w:rFonts w:ascii="宋体" w:hAnsi="宋体" w:eastAsia="宋体" w:cs="宋体"/>
          <w:color w:val="auto"/>
          <w:sz w:val="24"/>
        </w:rPr>
        <w:t>上级部门</w:t>
      </w:r>
      <w:r>
        <w:rPr>
          <w:rFonts w:hint="eastAsia" w:ascii="宋体" w:hAnsi="宋体" w:eastAsia="宋体" w:cs="宋体"/>
          <w:color w:val="auto"/>
          <w:sz w:val="24"/>
        </w:rPr>
        <w:t>相</w:t>
      </w:r>
      <w:r>
        <w:rPr>
          <w:rFonts w:ascii="宋体" w:hAnsi="宋体" w:eastAsia="宋体" w:cs="宋体"/>
          <w:color w:val="auto"/>
          <w:sz w:val="24"/>
        </w:rPr>
        <w:t>关法律法规管制</w:t>
      </w:r>
      <w:r>
        <w:rPr>
          <w:rFonts w:hint="eastAsia" w:ascii="宋体" w:hAnsi="宋体" w:eastAsia="宋体" w:cs="宋体"/>
          <w:color w:val="auto"/>
          <w:sz w:val="24"/>
        </w:rPr>
        <w:t>的，则乙方应当提供相关证明并协助甲方办理相关手续。</w:t>
      </w:r>
    </w:p>
    <w:p>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四、合</w:t>
      </w:r>
      <w:r>
        <w:rPr>
          <w:rFonts w:ascii="宋体" w:hAnsi="宋体" w:eastAsia="宋体" w:cs="宋体"/>
          <w:b/>
          <w:color w:val="auto"/>
          <w:sz w:val="24"/>
        </w:rPr>
        <w:t>同</w:t>
      </w:r>
      <w:r>
        <w:rPr>
          <w:rFonts w:hint="eastAsia" w:ascii="宋体" w:hAnsi="宋体" w:eastAsia="宋体" w:cs="宋体"/>
          <w:b/>
          <w:color w:val="auto"/>
          <w:sz w:val="24"/>
        </w:rPr>
        <w:t>验收</w:t>
      </w:r>
    </w:p>
    <w:p>
      <w:pPr>
        <w:spacing w:line="360" w:lineRule="auto"/>
        <w:ind w:firstLine="723" w:firstLineChars="300"/>
        <w:rPr>
          <w:rFonts w:ascii="宋体" w:hAnsi="宋体" w:eastAsia="宋体" w:cs="宋体"/>
          <w:color w:val="auto"/>
          <w:sz w:val="24"/>
        </w:rPr>
      </w:pPr>
      <w:r>
        <w:rPr>
          <w:rFonts w:hint="eastAsia" w:ascii="宋体" w:hAnsi="宋体" w:eastAsia="宋体" w:cs="宋体"/>
          <w:b/>
          <w:color w:val="auto"/>
          <w:sz w:val="24"/>
        </w:rPr>
        <w:t>1. 验收标准：</w:t>
      </w:r>
      <w:r>
        <w:rPr>
          <w:rFonts w:hint="eastAsia" w:ascii="宋体" w:hAnsi="宋体" w:eastAsia="宋体" w:cs="宋体"/>
          <w:color w:val="auto"/>
          <w:sz w:val="24"/>
        </w:rPr>
        <w:t>本合同相关约定、国家相关规范和标准、招标文件、响应文件及磋商报告相关要求、相关技术文件验收。</w:t>
      </w:r>
    </w:p>
    <w:p>
      <w:pPr>
        <w:spacing w:line="360" w:lineRule="auto"/>
        <w:ind w:firstLine="480" w:firstLineChars="200"/>
        <w:rPr>
          <w:rFonts w:ascii="宋体" w:hAnsi="宋体" w:eastAsia="宋体" w:cs="宋体"/>
          <w:color w:val="auto"/>
          <w:sz w:val="24"/>
        </w:rPr>
      </w:pPr>
      <w:r>
        <w:rPr>
          <w:rFonts w:ascii="宋体" w:hAnsi="宋体" w:eastAsia="宋体" w:cs="宋体"/>
          <w:color w:val="auto"/>
          <w:sz w:val="24"/>
        </w:rPr>
        <w:t>2.</w:t>
      </w:r>
      <w:r>
        <w:rPr>
          <w:rFonts w:hint="eastAsia" w:ascii="宋体" w:hAnsi="宋体" w:eastAsia="宋体" w:cs="宋体"/>
          <w:color w:val="auto"/>
          <w:sz w:val="24"/>
        </w:rPr>
        <w:t>验</w:t>
      </w:r>
      <w:r>
        <w:rPr>
          <w:rFonts w:ascii="宋体" w:hAnsi="宋体" w:eastAsia="宋体" w:cs="宋体"/>
          <w:color w:val="auto"/>
          <w:sz w:val="24"/>
        </w:rPr>
        <w:t>收方式：合同内</w:t>
      </w:r>
      <w:r>
        <w:rPr>
          <w:rFonts w:hint="eastAsia" w:ascii="宋体" w:hAnsi="宋体" w:eastAsia="宋体" w:cs="宋体"/>
          <w:color w:val="auto"/>
          <w:sz w:val="24"/>
        </w:rPr>
        <w:t>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）整</w:t>
      </w:r>
      <w:r>
        <w:rPr>
          <w:rFonts w:ascii="宋体" w:hAnsi="宋体" w:eastAsia="宋体" w:cs="宋体"/>
          <w:color w:val="auto"/>
          <w:sz w:val="24"/>
        </w:rPr>
        <w:t>体验收。</w:t>
      </w:r>
    </w:p>
    <w:p>
      <w:pPr>
        <w:spacing w:line="360" w:lineRule="auto"/>
        <w:ind w:firstLine="480" w:firstLineChars="200"/>
        <w:rPr>
          <w:rFonts w:hint="eastAsia" w:ascii="宋体" w:hAnsi="宋体" w:eastAsia="宋体" w:cs="宋体"/>
          <w:color w:val="auto"/>
          <w:sz w:val="24"/>
        </w:rPr>
      </w:pPr>
      <w:r>
        <w:rPr>
          <w:rFonts w:ascii="宋体" w:hAnsi="宋体" w:eastAsia="宋体" w:cs="宋体"/>
          <w:color w:val="auto"/>
          <w:sz w:val="24"/>
        </w:rPr>
        <w:t>3</w:t>
      </w:r>
      <w:r>
        <w:rPr>
          <w:rFonts w:hint="eastAsia" w:ascii="宋体" w:hAnsi="宋体" w:eastAsia="宋体" w:cs="宋体"/>
          <w:color w:val="auto"/>
          <w:sz w:val="24"/>
        </w:rPr>
        <w:t>.</w:t>
      </w:r>
      <w:r>
        <w:rPr>
          <w:rFonts w:ascii="宋体" w:hAnsi="宋体" w:eastAsia="宋体" w:cs="宋体"/>
          <w:color w:val="auto"/>
          <w:sz w:val="24"/>
        </w:rPr>
        <w:t>验收</w:t>
      </w:r>
      <w:r>
        <w:rPr>
          <w:rFonts w:hint="eastAsia" w:ascii="宋体" w:hAnsi="宋体" w:eastAsia="宋体" w:cs="宋体"/>
          <w:color w:val="auto"/>
          <w:sz w:val="24"/>
        </w:rPr>
        <w:t>组织</w:t>
      </w:r>
      <w:r>
        <w:rPr>
          <w:rFonts w:ascii="宋体" w:hAnsi="宋体" w:eastAsia="宋体" w:cs="宋体"/>
          <w:color w:val="auto"/>
          <w:sz w:val="24"/>
        </w:rPr>
        <w:t>：</w:t>
      </w:r>
      <w:r>
        <w:rPr>
          <w:rFonts w:hint="eastAsia" w:ascii="宋体" w:hAnsi="宋体" w:eastAsia="宋体" w:cs="宋体"/>
          <w:color w:val="auto"/>
          <w:sz w:val="24"/>
        </w:rPr>
        <w:t>甲方组织技术人员验收。（含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 xml:space="preserve">）质量验收合格的，甲方签署验收报告，验收不合格的，甲方向乙方出具书面质量异议意见。 </w:t>
      </w:r>
    </w:p>
    <w:p>
      <w:pPr>
        <w:spacing w:line="360" w:lineRule="auto"/>
        <w:ind w:left="360"/>
        <w:rPr>
          <w:rFonts w:hint="eastAsia" w:ascii="宋体" w:hAnsi="宋体" w:eastAsia="宋体" w:cs="宋体"/>
          <w:color w:val="auto"/>
          <w:sz w:val="24"/>
        </w:rPr>
      </w:pPr>
      <w:r>
        <w:rPr>
          <w:rFonts w:ascii="宋体" w:hAnsi="宋体" w:eastAsia="宋体" w:cs="宋体"/>
          <w:color w:val="auto"/>
          <w:sz w:val="24"/>
        </w:rPr>
        <w:t>4.</w:t>
      </w:r>
      <w:r>
        <w:rPr>
          <w:rFonts w:hint="eastAsia" w:ascii="宋体" w:hAnsi="宋体" w:eastAsia="宋体" w:cs="宋体"/>
          <w:color w:val="auto"/>
          <w:sz w:val="24"/>
        </w:rPr>
        <w:t>.甲方完成验收并不免除乙方对（含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 xml:space="preserve">）质量应当承担的责任。          </w:t>
      </w:r>
    </w:p>
    <w:p>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五、付款方式：</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1.本合同正式签订前，乙方需向甲方支付合同金额的5%即人民币    元整（小写：￥    元）作为履约保证金</w:t>
      </w:r>
      <w:r>
        <w:rPr>
          <w:rFonts w:hint="eastAsia" w:ascii="宋体" w:hAnsi="宋体" w:eastAsia="宋体" w:cs="宋体"/>
          <w:color w:val="auto"/>
          <w:sz w:val="24"/>
          <w:lang w:eastAsia="zh-CN"/>
        </w:rPr>
        <w:t>（优先以金融机构、担保机构出具的保函或者支票、汇票、本票等非现金形式提交）</w:t>
      </w:r>
      <w:r>
        <w:rPr>
          <w:rFonts w:hint="eastAsia" w:ascii="宋体" w:hAnsi="宋体" w:eastAsia="宋体" w:cs="宋体"/>
          <w:color w:val="auto"/>
          <w:sz w:val="24"/>
        </w:rPr>
        <w:t>；</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2. 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）经甲方验收合格后十五个工作日内，甲方向乙方支付全额货款即人民币    元整（小写：￥    元），上述履约保证金</w:t>
      </w:r>
      <w:r>
        <w:rPr>
          <w:rFonts w:hint="eastAsia" w:ascii="宋体" w:hAnsi="宋体" w:eastAsia="宋体" w:cs="宋体"/>
          <w:color w:val="auto"/>
          <w:sz w:val="24"/>
          <w:lang w:val="en-US" w:eastAsia="zh-CN"/>
        </w:rPr>
        <w:t>在</w:t>
      </w:r>
      <w:r>
        <w:rPr>
          <w:rFonts w:hint="eastAsia" w:ascii="宋体" w:hAnsi="宋体" w:eastAsia="宋体" w:cs="宋体"/>
          <w:bCs/>
          <w:color w:val="auto"/>
          <w:sz w:val="24"/>
        </w:rPr>
        <w:t>产品验收合格满</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1</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年后，若无质量问题甲方将全额无息退还给乙方；</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３.国产</w:t>
      </w:r>
      <w:r>
        <w:rPr>
          <w:rFonts w:ascii="宋体" w:hAnsi="宋体" w:eastAsia="宋体" w:cs="宋体"/>
          <w:color w:val="auto"/>
          <w:sz w:val="24"/>
        </w:rPr>
        <w:t>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）须提供增值税专用发票。</w:t>
      </w:r>
    </w:p>
    <w:p>
      <w:pPr>
        <w:spacing w:line="360" w:lineRule="auto"/>
        <w:ind w:firstLine="482" w:firstLineChars="200"/>
        <w:rPr>
          <w:rFonts w:hint="eastAsia" w:ascii="宋体" w:hAnsi="宋体" w:eastAsia="宋体" w:cs="宋体"/>
          <w:bCs/>
          <w:color w:val="auto"/>
          <w:sz w:val="24"/>
        </w:rPr>
      </w:pPr>
      <w:r>
        <w:rPr>
          <w:rFonts w:hint="eastAsia" w:ascii="宋体" w:hAnsi="宋体" w:eastAsia="宋体" w:cs="宋体"/>
          <w:b/>
          <w:color w:val="auto"/>
          <w:sz w:val="24"/>
          <w:lang w:val="en-US" w:eastAsia="zh-CN"/>
        </w:rPr>
        <w:t>六</w:t>
      </w:r>
      <w:r>
        <w:rPr>
          <w:rFonts w:hint="eastAsia" w:ascii="宋体" w:hAnsi="宋体" w:eastAsia="宋体" w:cs="宋体"/>
          <w:b/>
          <w:color w:val="auto"/>
          <w:sz w:val="24"/>
        </w:rPr>
        <w:t>、售后服务</w:t>
      </w:r>
      <w:r>
        <w:rPr>
          <w:rFonts w:hint="eastAsia" w:ascii="宋体" w:hAnsi="宋体" w:eastAsia="宋体" w:cs="宋体"/>
          <w:b/>
          <w:bCs/>
          <w:color w:val="auto"/>
          <w:sz w:val="24"/>
        </w:rPr>
        <w:t xml:space="preserve"> （</w:t>
      </w:r>
      <w:r>
        <w:rPr>
          <w:rFonts w:hint="eastAsia" w:ascii="宋体" w:hAnsi="宋体" w:eastAsia="宋体" w:cs="宋体"/>
          <w:bCs/>
          <w:color w:val="auto"/>
          <w:sz w:val="24"/>
        </w:rPr>
        <w:t>根据具体项目的响应文件填写</w:t>
      </w:r>
      <w:r>
        <w:rPr>
          <w:rFonts w:hint="eastAsia" w:ascii="宋体" w:hAnsi="宋体" w:eastAsia="宋体" w:cs="宋体"/>
          <w:b/>
          <w:bCs/>
          <w:color w:val="auto"/>
          <w:sz w:val="24"/>
        </w:rPr>
        <w:t>）</w:t>
      </w:r>
    </w:p>
    <w:p>
      <w:pPr>
        <w:spacing w:line="360" w:lineRule="auto"/>
        <w:ind w:left="479" w:leftChars="228" w:firstLine="480" w:firstLineChars="200"/>
        <w:rPr>
          <w:rFonts w:hint="eastAsia" w:ascii="宋体" w:hAnsi="宋体" w:eastAsia="宋体" w:cs="宋体"/>
          <w:bCs/>
          <w:color w:val="auto"/>
          <w:sz w:val="24"/>
        </w:rPr>
      </w:pPr>
      <w:r>
        <w:rPr>
          <w:rFonts w:hint="eastAsia" w:ascii="宋体" w:hAnsi="宋体" w:eastAsia="宋体" w:cs="宋体"/>
          <w:bCs/>
          <w:color w:val="auto"/>
          <w:sz w:val="24"/>
        </w:rPr>
        <w:t>1.</w:t>
      </w:r>
      <w:r>
        <w:rPr>
          <w:rFonts w:ascii="宋体" w:hAnsi="宋体" w:eastAsia="宋体" w:cs="宋体"/>
          <w:color w:val="auto"/>
          <w:sz w:val="24"/>
        </w:rPr>
        <w:t xml:space="preserve"> </w:t>
      </w:r>
      <w:r>
        <w:rPr>
          <w:rFonts w:hint="eastAsia" w:ascii="宋体" w:hAnsi="宋体" w:eastAsia="宋体" w:cs="宋体"/>
          <w:color w:val="auto"/>
          <w:sz w:val="24"/>
        </w:rPr>
        <w:t>国产</w:t>
      </w:r>
      <w:r>
        <w:rPr>
          <w:rFonts w:ascii="宋体" w:hAnsi="宋体" w:eastAsia="宋体" w:cs="宋体"/>
          <w:color w:val="auto"/>
          <w:sz w:val="24"/>
        </w:rPr>
        <w:t>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宋体"/>
          <w:bCs/>
          <w:color w:val="auto"/>
          <w:sz w:val="24"/>
        </w:rPr>
        <w:t>验收合格之日起质保期    年，并提供售后服务    年。</w:t>
      </w:r>
    </w:p>
    <w:p>
      <w:pPr>
        <w:spacing w:line="360" w:lineRule="auto"/>
        <w:ind w:left="479" w:leftChars="228" w:firstLine="480" w:firstLineChars="200"/>
        <w:rPr>
          <w:rFonts w:hint="eastAsia" w:ascii="宋体" w:hAnsi="宋体" w:eastAsia="宋体" w:cs="宋体"/>
          <w:bCs/>
          <w:color w:val="auto"/>
          <w:sz w:val="24"/>
        </w:rPr>
      </w:pPr>
      <w:r>
        <w:rPr>
          <w:rFonts w:hint="eastAsia" w:ascii="宋体" w:hAnsi="宋体" w:eastAsia="宋体" w:cs="宋体"/>
          <w:bCs/>
          <w:color w:val="auto"/>
          <w:sz w:val="24"/>
        </w:rPr>
        <w:t>2.质保期、保修期内因</w:t>
      </w:r>
      <w:r>
        <w:rPr>
          <w:rFonts w:hint="eastAsia" w:ascii="宋体" w:hAnsi="宋体" w:eastAsia="宋体" w:cs="宋体"/>
          <w:color w:val="auto"/>
          <w:sz w:val="24"/>
        </w:rPr>
        <w:t>国产</w:t>
      </w:r>
      <w:r>
        <w:rPr>
          <w:rFonts w:ascii="宋体" w:hAnsi="宋体" w:eastAsia="宋体" w:cs="宋体"/>
          <w:color w:val="auto"/>
          <w:sz w:val="24"/>
        </w:rPr>
        <w:t>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宋体"/>
          <w:bCs/>
          <w:color w:val="auto"/>
          <w:sz w:val="24"/>
        </w:rPr>
        <w:t>质量或安装调试原因引起的全部维修费用（包括更换零配件的费用）均由乙方承担。</w:t>
      </w:r>
    </w:p>
    <w:p>
      <w:pPr>
        <w:spacing w:line="360" w:lineRule="auto"/>
        <w:ind w:left="479" w:leftChars="228" w:firstLine="480" w:firstLineChars="200"/>
        <w:rPr>
          <w:rFonts w:hint="eastAsia" w:ascii="宋体" w:hAnsi="宋体" w:eastAsia="宋体" w:cs="宋体"/>
          <w:bCs/>
          <w:color w:val="auto"/>
          <w:sz w:val="24"/>
        </w:rPr>
      </w:pPr>
      <w:r>
        <w:rPr>
          <w:rFonts w:hint="eastAsia" w:ascii="宋体" w:hAnsi="宋体" w:eastAsia="宋体" w:cs="宋体"/>
          <w:bCs/>
          <w:color w:val="auto"/>
          <w:sz w:val="24"/>
        </w:rPr>
        <w:t>3.质保期、保修期外，乙方应定期回访，发现问题及时通知甲方，</w:t>
      </w:r>
      <w:r>
        <w:rPr>
          <w:rFonts w:hint="eastAsia" w:ascii="宋体" w:hAnsi="宋体" w:eastAsia="宋体" w:cs="宋体"/>
          <w:color w:val="auto"/>
          <w:sz w:val="24"/>
        </w:rPr>
        <w:t>国产</w:t>
      </w:r>
      <w:r>
        <w:rPr>
          <w:rFonts w:ascii="宋体" w:hAnsi="宋体" w:eastAsia="宋体" w:cs="宋体"/>
          <w:color w:val="auto"/>
          <w:sz w:val="24"/>
        </w:rPr>
        <w:t>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宋体"/>
          <w:bCs/>
          <w:color w:val="auto"/>
          <w:sz w:val="24"/>
        </w:rPr>
        <w:t>维修零配件以优惠价给甲方（免收人工及差旅费）。</w:t>
      </w:r>
    </w:p>
    <w:p>
      <w:pPr>
        <w:spacing w:line="360" w:lineRule="auto"/>
        <w:ind w:left="479" w:leftChars="228" w:firstLine="480" w:firstLineChars="200"/>
        <w:rPr>
          <w:rFonts w:hint="eastAsia" w:ascii="宋体" w:hAnsi="宋体" w:eastAsia="宋体" w:cs="宋体"/>
          <w:bCs/>
          <w:color w:val="auto"/>
          <w:sz w:val="24"/>
        </w:rPr>
      </w:pPr>
      <w:r>
        <w:rPr>
          <w:rFonts w:hint="eastAsia" w:ascii="宋体" w:hAnsi="宋体" w:eastAsia="宋体" w:cs="宋体"/>
          <w:bCs/>
          <w:color w:val="auto"/>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hint="eastAsia" w:ascii="宋体" w:hAnsi="宋体" w:eastAsia="宋体" w:cs="宋体"/>
          <w:b/>
          <w:color w:val="auto"/>
          <w:sz w:val="24"/>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rPr>
        <w:t>、安装调试和搬运安全</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1.乙方须严格按照相关安全规范负责合同中全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）安装调试、搬运和</w:t>
      </w:r>
      <w:r>
        <w:rPr>
          <w:rFonts w:ascii="宋体" w:hAnsi="宋体" w:eastAsia="宋体" w:cs="宋体"/>
          <w:color w:val="auto"/>
          <w:sz w:val="24"/>
        </w:rPr>
        <w:t>施工现场管理</w:t>
      </w:r>
      <w:r>
        <w:rPr>
          <w:rFonts w:hint="eastAsia" w:ascii="宋体" w:hAnsi="宋体" w:eastAsia="宋体" w:cs="宋体"/>
          <w:color w:val="auto"/>
          <w:sz w:val="24"/>
        </w:rPr>
        <w:t>工作，并严守安装调试、搬运和</w:t>
      </w:r>
      <w:r>
        <w:rPr>
          <w:rFonts w:ascii="宋体" w:hAnsi="宋体" w:eastAsia="宋体" w:cs="宋体"/>
          <w:color w:val="auto"/>
          <w:sz w:val="24"/>
        </w:rPr>
        <w:t>施工现场</w:t>
      </w:r>
      <w:r>
        <w:rPr>
          <w:rFonts w:hint="eastAsia" w:ascii="宋体" w:hAnsi="宋体" w:eastAsia="宋体" w:cs="宋体"/>
          <w:color w:val="auto"/>
          <w:sz w:val="24"/>
        </w:rPr>
        <w:t>各项安全规定。</w:t>
      </w:r>
    </w:p>
    <w:p>
      <w:pPr>
        <w:spacing w:line="360" w:lineRule="auto"/>
        <w:ind w:left="360" w:firstLine="480" w:firstLineChars="200"/>
        <w:rPr>
          <w:rFonts w:hint="eastAsia" w:ascii="宋体" w:hAnsi="宋体" w:eastAsia="宋体" w:cs="宋体"/>
          <w:color w:val="auto"/>
          <w:sz w:val="24"/>
        </w:rPr>
      </w:pPr>
      <w:r>
        <w:rPr>
          <w:rFonts w:hint="eastAsia" w:ascii="宋体" w:hAnsi="宋体" w:eastAsia="宋体" w:cs="宋体"/>
          <w:color w:val="auto"/>
          <w:sz w:val="24"/>
        </w:rPr>
        <w:t>2.乙方须安排具备相应资质的人员负责合同中全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）安装调试、搬运和</w:t>
      </w:r>
      <w:r>
        <w:rPr>
          <w:rFonts w:ascii="宋体" w:hAnsi="宋体" w:eastAsia="宋体" w:cs="宋体"/>
          <w:color w:val="auto"/>
          <w:sz w:val="24"/>
        </w:rPr>
        <w:t>施工现场</w:t>
      </w:r>
      <w:r>
        <w:rPr>
          <w:rFonts w:hint="eastAsia" w:ascii="宋体" w:hAnsi="宋体" w:eastAsia="宋体" w:cs="宋体"/>
          <w:color w:val="auto"/>
          <w:sz w:val="24"/>
        </w:rPr>
        <w:t>管安</w:t>
      </w:r>
      <w:r>
        <w:rPr>
          <w:rFonts w:ascii="宋体" w:hAnsi="宋体" w:eastAsia="宋体" w:cs="宋体"/>
          <w:color w:val="auto"/>
          <w:sz w:val="24"/>
        </w:rPr>
        <w:t>全管理</w:t>
      </w:r>
      <w:r>
        <w:rPr>
          <w:rFonts w:hint="eastAsia" w:ascii="宋体" w:hAnsi="宋体" w:eastAsia="宋体" w:cs="宋体"/>
          <w:color w:val="auto"/>
          <w:sz w:val="24"/>
        </w:rPr>
        <w:t>工作，负责监督安装调试和搬运人员按照安全规范进行安装调试、搬运和</w:t>
      </w:r>
      <w:r>
        <w:rPr>
          <w:rFonts w:ascii="宋体" w:hAnsi="宋体" w:eastAsia="宋体" w:cs="宋体"/>
          <w:color w:val="auto"/>
          <w:sz w:val="24"/>
        </w:rPr>
        <w:t>施工现场管理</w:t>
      </w:r>
      <w:r>
        <w:rPr>
          <w:rFonts w:hint="eastAsia" w:ascii="宋体" w:hAnsi="宋体" w:eastAsia="宋体" w:cs="宋体"/>
          <w:color w:val="auto"/>
          <w:sz w:val="24"/>
        </w:rPr>
        <w:t>，保证安装调试、搬运和</w:t>
      </w:r>
      <w:r>
        <w:rPr>
          <w:rFonts w:ascii="宋体" w:hAnsi="宋体" w:eastAsia="宋体" w:cs="宋体"/>
          <w:color w:val="auto"/>
          <w:sz w:val="24"/>
        </w:rPr>
        <w:t>施工现场</w:t>
      </w:r>
      <w:r>
        <w:rPr>
          <w:rFonts w:hint="eastAsia" w:ascii="宋体" w:hAnsi="宋体" w:eastAsia="宋体" w:cs="宋体"/>
          <w:color w:val="auto"/>
          <w:sz w:val="24"/>
        </w:rPr>
        <w:t>安全。若发生人员伤亡事故，乙方必须承担所有法律和经济责任，甲方概不负责；若发生房屋损坏、设备损坏丢失、线路及设备毁损等财</w:t>
      </w:r>
      <w:r>
        <w:rPr>
          <w:rFonts w:ascii="宋体" w:hAnsi="宋体" w:eastAsia="宋体" w:cs="宋体"/>
          <w:color w:val="auto"/>
          <w:sz w:val="24"/>
        </w:rPr>
        <w:t>产</w:t>
      </w:r>
      <w:r>
        <w:rPr>
          <w:rFonts w:hint="eastAsia" w:ascii="宋体" w:hAnsi="宋体" w:eastAsia="宋体" w:cs="宋体"/>
          <w:color w:val="auto"/>
          <w:sz w:val="24"/>
        </w:rPr>
        <w:t>损失安全事故，乙方必须承担经济赔偿。</w:t>
      </w:r>
    </w:p>
    <w:p>
      <w:pPr>
        <w:spacing w:line="360" w:lineRule="auto"/>
        <w:ind w:left="479" w:leftChars="172" w:hanging="118" w:hangingChars="49"/>
        <w:rPr>
          <w:rFonts w:hint="eastAsia" w:ascii="宋体" w:hAnsi="宋体" w:eastAsia="宋体" w:cs="宋体"/>
          <w:color w:val="auto"/>
          <w:sz w:val="24"/>
        </w:rPr>
      </w:pPr>
      <w:r>
        <w:rPr>
          <w:rFonts w:hint="eastAsia" w:ascii="宋体" w:hAnsi="宋体" w:eastAsia="宋体" w:cs="宋体"/>
          <w:b/>
          <w:bCs/>
          <w:color w:val="auto"/>
          <w:sz w:val="24"/>
          <w:lang w:val="en-US" w:eastAsia="zh-CN"/>
        </w:rPr>
        <w:t>八</w:t>
      </w:r>
      <w:r>
        <w:rPr>
          <w:rFonts w:hint="eastAsia" w:ascii="宋体" w:hAnsi="宋体" w:eastAsia="宋体" w:cs="宋体"/>
          <w:b/>
          <w:bCs/>
          <w:color w:val="auto"/>
          <w:sz w:val="24"/>
        </w:rPr>
        <w:t>、违约责任</w:t>
      </w:r>
    </w:p>
    <w:p>
      <w:pPr>
        <w:spacing w:line="360" w:lineRule="auto"/>
        <w:ind w:left="540" w:leftChars="257" w:firstLine="480" w:firstLineChars="200"/>
        <w:rPr>
          <w:rFonts w:hint="eastAsia" w:ascii="宋体" w:hAnsi="宋体" w:eastAsia="宋体" w:cs="宋体"/>
          <w:color w:val="auto"/>
          <w:sz w:val="24"/>
        </w:rPr>
      </w:pPr>
      <w:r>
        <w:rPr>
          <w:rFonts w:hint="eastAsia" w:ascii="宋体" w:hAnsi="宋体" w:eastAsia="宋体" w:cs="宋体"/>
          <w:color w:val="auto"/>
          <w:sz w:val="24"/>
        </w:rPr>
        <w:t>1.若乙方未能按合同所规定的交货时间前完成本合同全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hint="eastAsia" w:ascii="宋体" w:hAnsi="宋体" w:eastAsia="宋体" w:cs="宋体"/>
          <w:color w:val="auto"/>
          <w:sz w:val="24"/>
        </w:rPr>
      </w:pPr>
      <w:r>
        <w:rPr>
          <w:rFonts w:hint="eastAsia" w:ascii="宋体" w:hAnsi="宋体" w:eastAsia="宋体" w:cs="宋体"/>
          <w:color w:val="auto"/>
          <w:sz w:val="24"/>
        </w:rPr>
        <w:t>2．若乙方未能在20  年  月  日前完成本合同全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）安装调试并达到验收标准，甲方可中止本合同，并由乙方承担由此给甲方造成的一切损失。</w:t>
      </w:r>
    </w:p>
    <w:p>
      <w:pPr>
        <w:spacing w:line="360" w:lineRule="auto"/>
        <w:ind w:left="540" w:leftChars="257" w:firstLine="480" w:firstLineChars="200"/>
        <w:rPr>
          <w:rFonts w:hint="eastAsia" w:ascii="宋体" w:hAnsi="宋体" w:eastAsia="宋体" w:cs="宋体"/>
          <w:color w:val="auto"/>
          <w:sz w:val="24"/>
        </w:rPr>
      </w:pPr>
      <w:r>
        <w:rPr>
          <w:rFonts w:hint="eastAsia" w:ascii="宋体" w:hAnsi="宋体" w:eastAsia="宋体" w:cs="宋体"/>
          <w:color w:val="auto"/>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hint="eastAsia" w:ascii="宋体" w:hAnsi="宋体" w:eastAsia="宋体" w:cs="宋体"/>
          <w:bCs/>
          <w:color w:val="auto"/>
          <w:sz w:val="24"/>
        </w:rPr>
      </w:pPr>
      <w:r>
        <w:rPr>
          <w:rFonts w:hint="eastAsia" w:ascii="宋体" w:hAnsi="宋体" w:eastAsia="宋体" w:cs="宋体"/>
          <w:color w:val="auto"/>
          <w:sz w:val="24"/>
        </w:rPr>
        <w:t>4．乙方交付甲方的全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）及施工过</w:t>
      </w:r>
      <w:r>
        <w:rPr>
          <w:rFonts w:ascii="宋体" w:hAnsi="宋体" w:eastAsia="宋体" w:cs="宋体"/>
          <w:color w:val="auto"/>
          <w:sz w:val="24"/>
        </w:rPr>
        <w:t>程</w:t>
      </w:r>
      <w:r>
        <w:rPr>
          <w:rFonts w:hint="eastAsia" w:ascii="宋体" w:hAnsi="宋体" w:eastAsia="宋体" w:cs="宋体"/>
          <w:color w:val="auto"/>
          <w:sz w:val="24"/>
        </w:rPr>
        <w:t>中使用的材料必须有合法的进货渠道，且符合合同和投标书中的质量约定，否则由乙方承担一切责任。</w:t>
      </w:r>
    </w:p>
    <w:p>
      <w:pPr>
        <w:spacing w:line="360" w:lineRule="auto"/>
        <w:ind w:left="540" w:leftChars="257" w:firstLine="480" w:firstLineChars="200"/>
        <w:rPr>
          <w:rFonts w:hint="eastAsia" w:ascii="宋体" w:hAnsi="宋体" w:eastAsia="宋体" w:cs="宋体"/>
          <w:bCs/>
          <w:color w:val="auto"/>
          <w:sz w:val="24"/>
        </w:rPr>
      </w:pPr>
      <w:r>
        <w:rPr>
          <w:rFonts w:hint="eastAsia" w:ascii="宋体" w:hAnsi="宋体" w:eastAsia="宋体" w:cs="宋体"/>
          <w:bCs/>
          <w:color w:val="auto"/>
          <w:sz w:val="24"/>
        </w:rPr>
        <w:t>5.</w:t>
      </w:r>
      <w:r>
        <w:rPr>
          <w:rFonts w:hint="eastAsia" w:ascii="宋体" w:hAnsi="宋体" w:eastAsia="宋体" w:cs="Times New Roman"/>
          <w:bCs/>
          <w:color w:val="auto"/>
          <w:sz w:val="24"/>
        </w:rPr>
        <w:t xml:space="preserve"> 乙方保证本合同项内</w:t>
      </w:r>
      <w:r>
        <w:rPr>
          <w:rFonts w:hint="eastAsia" w:ascii="宋体" w:hAnsi="宋体" w:eastAsia="宋体" w:cs="宋体"/>
          <w:color w:val="auto"/>
          <w:sz w:val="24"/>
        </w:rPr>
        <w:t>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Times New Roman"/>
          <w:bCs/>
          <w:color w:val="auto"/>
          <w:sz w:val="24"/>
        </w:rPr>
        <w:t>的权利无瑕疵，包括</w:t>
      </w:r>
      <w:r>
        <w:rPr>
          <w:rFonts w:hint="eastAsia" w:ascii="宋体" w:hAnsi="宋体" w:eastAsia="宋体" w:cs="宋体"/>
          <w:color w:val="auto"/>
          <w:sz w:val="24"/>
        </w:rPr>
        <w:t>全</w:t>
      </w:r>
      <w:r>
        <w:rPr>
          <w:rFonts w:ascii="宋体" w:hAnsi="宋体" w:eastAsia="宋体" w:cs="宋体"/>
          <w:color w:val="auto"/>
          <w:sz w:val="24"/>
        </w:rPr>
        <w:t>部货物</w:t>
      </w:r>
      <w:r>
        <w:rPr>
          <w:rFonts w:hint="eastAsia" w:ascii="宋体" w:hAnsi="宋体" w:eastAsia="宋体" w:cs="宋体"/>
          <w:color w:val="auto"/>
          <w:sz w:val="24"/>
        </w:rPr>
        <w:t>（含</w:t>
      </w:r>
      <w:r>
        <w:rPr>
          <w:rFonts w:ascii="宋体" w:hAnsi="宋体" w:eastAsia="宋体" w:cs="宋体"/>
          <w:color w:val="auto"/>
          <w:sz w:val="24"/>
        </w:rPr>
        <w:t>配套</w:t>
      </w:r>
      <w:r>
        <w:rPr>
          <w:rFonts w:hint="eastAsia" w:ascii="宋体" w:hAnsi="宋体" w:eastAsia="宋体" w:cs="宋体"/>
          <w:color w:val="auto"/>
          <w:sz w:val="24"/>
        </w:rPr>
        <w:t>系统、配件</w:t>
      </w:r>
      <w:r>
        <w:rPr>
          <w:rFonts w:ascii="宋体" w:hAnsi="宋体" w:eastAsia="宋体" w:cs="宋体"/>
          <w:color w:val="auto"/>
          <w:sz w:val="24"/>
        </w:rPr>
        <w:t>备件</w:t>
      </w:r>
      <w:r>
        <w:rPr>
          <w:rFonts w:hint="eastAsia" w:ascii="宋体" w:hAnsi="宋体" w:eastAsia="宋体" w:cs="宋体"/>
          <w:color w:val="auto"/>
          <w:sz w:val="24"/>
        </w:rPr>
        <w:t>）</w:t>
      </w:r>
      <w:r>
        <w:rPr>
          <w:rFonts w:hint="eastAsia" w:ascii="宋体" w:hAnsi="宋体" w:eastAsia="宋体" w:cs="Times New Roman"/>
          <w:bCs/>
          <w:color w:val="auto"/>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eastAsia="宋体" w:cs="Times New Roman"/>
          <w:bCs/>
          <w:color w:val="auto"/>
          <w:sz w:val="24"/>
        </w:rPr>
        <w:t>内</w:t>
      </w:r>
      <w:r>
        <w:rPr>
          <w:rFonts w:hint="eastAsia" w:ascii="宋体" w:hAnsi="宋体" w:eastAsia="宋体" w:cs="Times New Roman"/>
          <w:bCs/>
          <w:color w:val="auto"/>
          <w:sz w:val="24"/>
        </w:rPr>
        <w:t>返</w:t>
      </w:r>
      <w:r>
        <w:rPr>
          <w:rFonts w:ascii="宋体" w:hAnsi="宋体" w:eastAsia="宋体" w:cs="Times New Roman"/>
          <w:bCs/>
          <w:color w:val="auto"/>
          <w:sz w:val="24"/>
        </w:rPr>
        <w:t>还甲方</w:t>
      </w:r>
      <w:r>
        <w:rPr>
          <w:rFonts w:hint="eastAsia" w:ascii="宋体" w:hAnsi="宋体" w:eastAsia="宋体" w:cs="Times New Roman"/>
          <w:bCs/>
          <w:color w:val="auto"/>
          <w:sz w:val="24"/>
          <w:lang w:val="en-US" w:eastAsia="zh-CN"/>
        </w:rPr>
        <w:t>已付</w:t>
      </w:r>
      <w:r>
        <w:rPr>
          <w:rFonts w:hint="eastAsia" w:ascii="宋体" w:hAnsi="宋体" w:eastAsia="宋体" w:cs="Times New Roman"/>
          <w:bCs/>
          <w:color w:val="auto"/>
          <w:sz w:val="24"/>
        </w:rPr>
        <w:t>货款外，还应按合同总价的</w:t>
      </w:r>
      <w:r>
        <w:rPr>
          <w:rFonts w:hint="eastAsia" w:ascii="宋体" w:hAnsi="宋体" w:eastAsia="宋体" w:cs="宋体"/>
          <w:color w:val="auto"/>
          <w:sz w:val="24"/>
        </w:rPr>
        <w:t>5%</w:t>
      </w:r>
      <w:r>
        <w:rPr>
          <w:rFonts w:hint="eastAsia" w:ascii="宋体" w:hAnsi="宋体" w:eastAsia="宋体" w:cs="Times New Roman"/>
          <w:bCs/>
          <w:color w:val="auto"/>
          <w:sz w:val="24"/>
        </w:rPr>
        <w:t>向甲方支付违约金。</w:t>
      </w:r>
    </w:p>
    <w:p>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color w:val="auto"/>
          <w:sz w:val="24"/>
          <w:lang w:val="en-US" w:eastAsia="zh-CN"/>
        </w:rPr>
        <w:t>九</w:t>
      </w:r>
      <w:r>
        <w:rPr>
          <w:rFonts w:hint="eastAsia" w:ascii="宋体" w:hAnsi="宋体" w:eastAsia="宋体" w:cs="宋体"/>
          <w:b/>
          <w:color w:val="auto"/>
          <w:sz w:val="24"/>
        </w:rPr>
        <w:t>、在履行本合同过程中，如发生争议，双方应友好协商解决，如协商不能解决，双方同意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十、本合同一式柒份，甲方持陆份，</w:t>
      </w:r>
      <w:r>
        <w:rPr>
          <w:rFonts w:hint="eastAsia" w:ascii="宋体" w:hAnsi="宋体" w:eastAsia="宋体" w:cs="Times New Roman"/>
          <w:b/>
          <w:color w:val="auto"/>
          <w:sz w:val="24"/>
        </w:rPr>
        <w:t>乙方持壹份,具有同等法律效力。</w:t>
      </w:r>
    </w:p>
    <w:p>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十</w:t>
      </w:r>
      <w:r>
        <w:rPr>
          <w:rFonts w:hint="eastAsia" w:ascii="宋体" w:hAnsi="宋体" w:eastAsia="宋体" w:cs="宋体"/>
          <w:b/>
          <w:color w:val="auto"/>
          <w:sz w:val="24"/>
          <w:lang w:val="en-US" w:eastAsia="zh-CN"/>
        </w:rPr>
        <w:t>一</w:t>
      </w:r>
      <w:r>
        <w:rPr>
          <w:rFonts w:hint="eastAsia" w:ascii="宋体" w:hAnsi="宋体" w:eastAsia="宋体" w:cs="宋体"/>
          <w:b/>
          <w:color w:val="auto"/>
          <w:sz w:val="24"/>
        </w:rPr>
        <w:t>、本合同自双方签字并盖章之日起生效。</w:t>
      </w:r>
    </w:p>
    <w:p>
      <w:pPr>
        <w:spacing w:line="360" w:lineRule="auto"/>
        <w:ind w:left="-178" w:leftChars="-85" w:right="-359" w:rightChars="-171" w:firstLine="144" w:firstLineChars="60"/>
        <w:rPr>
          <w:rFonts w:hint="eastAsia" w:ascii="宋体" w:hAnsi="宋体" w:eastAsia="宋体" w:cs="宋体"/>
          <w:color w:val="auto"/>
          <w:sz w:val="24"/>
        </w:rPr>
      </w:pPr>
    </w:p>
    <w:p>
      <w:pPr>
        <w:spacing w:line="360" w:lineRule="auto"/>
        <w:ind w:left="178" w:leftChars="85" w:right="-359" w:rightChars="-171"/>
        <w:rPr>
          <w:rFonts w:hint="eastAsia" w:ascii="宋体" w:hAnsi="宋体" w:eastAsia="宋体" w:cs="宋体"/>
          <w:color w:val="auto"/>
          <w:sz w:val="24"/>
        </w:rPr>
      </w:pPr>
      <w:r>
        <w:rPr>
          <w:rFonts w:hint="eastAsia" w:ascii="宋体" w:hAnsi="宋体" w:eastAsia="宋体" w:cs="宋体"/>
          <w:color w:val="auto"/>
          <w:sz w:val="24"/>
        </w:rPr>
        <w:t>甲 方（盖章）：</w:t>
      </w:r>
      <w:r>
        <w:rPr>
          <w:rFonts w:hint="eastAsia" w:ascii="宋体" w:hAnsi="宋体" w:eastAsia="宋体" w:cs="宋体"/>
          <w:b/>
          <w:bCs/>
          <w:color w:val="auto"/>
          <w:sz w:val="24"/>
        </w:rPr>
        <w:t xml:space="preserve">湖北工业大学                </w:t>
      </w:r>
      <w:r>
        <w:rPr>
          <w:rFonts w:hint="eastAsia" w:ascii="宋体" w:hAnsi="宋体" w:eastAsia="宋体" w:cs="宋体"/>
          <w:color w:val="auto"/>
          <w:sz w:val="24"/>
        </w:rPr>
        <w:t>乙 方（盖章）：</w:t>
      </w:r>
      <w:r>
        <w:rPr>
          <w:rFonts w:hint="eastAsia" w:ascii="宋体" w:hAnsi="宋体" w:eastAsia="宋体" w:cs="宋体"/>
          <w:snapToGrid w:val="0"/>
          <w:color w:val="auto"/>
          <w:kern w:val="0"/>
          <w:sz w:val="24"/>
        </w:rPr>
        <w:t xml:space="preserve">                      </w:t>
      </w:r>
    </w:p>
    <w:p>
      <w:pPr>
        <w:spacing w:line="360" w:lineRule="auto"/>
        <w:ind w:left="178" w:leftChars="85" w:right="-178" w:rightChars="-85"/>
        <w:rPr>
          <w:rFonts w:hint="eastAsia" w:ascii="宋体" w:hAnsi="宋体" w:eastAsia="宋体" w:cs="宋体"/>
          <w:color w:val="auto"/>
          <w:sz w:val="24"/>
        </w:rPr>
      </w:pPr>
    </w:p>
    <w:p>
      <w:pPr>
        <w:spacing w:line="360" w:lineRule="auto"/>
        <w:ind w:left="178" w:leftChars="85" w:right="-178" w:rightChars="-85"/>
        <w:rPr>
          <w:rFonts w:hint="eastAsia" w:ascii="宋体" w:hAnsi="宋体" w:eastAsia="宋体" w:cs="宋体"/>
          <w:color w:val="auto"/>
          <w:sz w:val="24"/>
        </w:rPr>
      </w:pPr>
      <w:r>
        <w:rPr>
          <w:rFonts w:hint="eastAsia" w:ascii="宋体" w:hAnsi="宋体" w:eastAsia="宋体" w:cs="宋体"/>
          <w:color w:val="auto"/>
          <w:sz w:val="24"/>
        </w:rPr>
        <w:t>部门（单位）主要负责人（签名）：</w:t>
      </w:r>
    </w:p>
    <w:p>
      <w:pPr>
        <w:spacing w:line="360" w:lineRule="auto"/>
        <w:ind w:left="178" w:leftChars="85" w:right="-178" w:rightChars="-85"/>
        <w:rPr>
          <w:rFonts w:hint="eastAsia" w:ascii="宋体" w:hAnsi="宋体" w:eastAsia="宋体" w:cs="宋体"/>
          <w:color w:val="auto"/>
          <w:sz w:val="24"/>
        </w:rPr>
      </w:pPr>
      <w:r>
        <w:rPr>
          <w:rFonts w:hint="eastAsia" w:ascii="宋体" w:hAnsi="宋体" w:eastAsia="宋体" w:cs="宋体"/>
          <w:color w:val="auto"/>
          <w:sz w:val="24"/>
        </w:rPr>
        <w:t>法人或授权代表（签名）：                   法人或授权代表（签名）：</w:t>
      </w:r>
    </w:p>
    <w:p>
      <w:pPr>
        <w:spacing w:line="360" w:lineRule="auto"/>
        <w:ind w:left="178" w:leftChars="85" w:right="-171"/>
        <w:rPr>
          <w:rFonts w:hint="eastAsia" w:ascii="宋体" w:hAnsi="宋体" w:eastAsia="宋体" w:cs="宋体"/>
          <w:color w:val="auto"/>
          <w:sz w:val="24"/>
        </w:rPr>
      </w:pPr>
    </w:p>
    <w:p>
      <w:pPr>
        <w:spacing w:line="360" w:lineRule="auto"/>
        <w:ind w:left="178" w:leftChars="85" w:right="-171"/>
        <w:rPr>
          <w:rFonts w:hint="eastAsia" w:ascii="宋体" w:hAnsi="宋体" w:eastAsia="宋体" w:cs="宋体"/>
          <w:color w:val="auto"/>
          <w:sz w:val="24"/>
        </w:rPr>
      </w:pPr>
      <w:r>
        <w:rPr>
          <w:rFonts w:hint="eastAsia" w:ascii="宋体" w:hAnsi="宋体" w:eastAsia="宋体" w:cs="宋体"/>
          <w:color w:val="auto"/>
          <w:sz w:val="24"/>
        </w:rPr>
        <w:t>联系方式：02759750213                    联系方式：</w:t>
      </w:r>
    </w:p>
    <w:p>
      <w:pPr>
        <w:spacing w:line="360" w:lineRule="auto"/>
        <w:ind w:left="178" w:leftChars="85" w:right="-171"/>
        <w:rPr>
          <w:rFonts w:hint="eastAsia" w:ascii="宋体" w:hAnsi="宋体" w:eastAsia="宋体" w:cs="宋体"/>
          <w:color w:val="auto"/>
          <w:sz w:val="24"/>
        </w:rPr>
      </w:pPr>
      <w:r>
        <w:rPr>
          <w:rFonts w:hint="eastAsia" w:ascii="宋体" w:hAnsi="宋体" w:eastAsia="宋体" w:cs="宋体"/>
          <w:color w:val="auto"/>
          <w:sz w:val="24"/>
        </w:rPr>
        <w:t xml:space="preserve">                                         开户银行：</w:t>
      </w:r>
    </w:p>
    <w:p>
      <w:pPr>
        <w:spacing w:line="360" w:lineRule="auto"/>
        <w:ind w:left="178" w:leftChars="85" w:right="-171"/>
        <w:rPr>
          <w:rFonts w:hint="eastAsia" w:ascii="宋体" w:hAnsi="宋体" w:eastAsia="宋体" w:cs="宋体"/>
          <w:snapToGrid w:val="0"/>
          <w:color w:val="auto"/>
          <w:kern w:val="0"/>
          <w:sz w:val="24"/>
        </w:rPr>
      </w:pPr>
      <w:r>
        <w:rPr>
          <w:rFonts w:hint="eastAsia" w:ascii="宋体" w:hAnsi="宋体" w:eastAsia="宋体" w:cs="宋体"/>
          <w:color w:val="auto"/>
          <w:sz w:val="24"/>
        </w:rPr>
        <w:t xml:space="preserve">                                         银行账号：</w:t>
      </w:r>
    </w:p>
    <w:p>
      <w:pPr>
        <w:spacing w:line="360" w:lineRule="auto"/>
        <w:ind w:left="178" w:leftChars="85" w:right="-171"/>
        <w:rPr>
          <w:rFonts w:hint="eastAsia" w:ascii="宋体" w:hAnsi="宋体" w:eastAsia="宋体" w:cs="宋体"/>
          <w:color w:val="auto"/>
          <w:sz w:val="24"/>
        </w:rPr>
      </w:pPr>
      <w:r>
        <w:rPr>
          <w:rFonts w:hint="eastAsia" w:ascii="宋体" w:hAnsi="宋体" w:eastAsia="宋体" w:cs="宋体"/>
          <w:snapToGrid w:val="0"/>
          <w:color w:val="auto"/>
          <w:kern w:val="0"/>
          <w:sz w:val="24"/>
        </w:rPr>
        <w:t xml:space="preserve">                                  </w:t>
      </w:r>
    </w:p>
    <w:p>
      <w:pPr>
        <w:widowControl w:val="0"/>
        <w:spacing w:line="360" w:lineRule="auto"/>
        <w:ind w:left="178" w:leftChars="85"/>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日  期： </w:t>
      </w:r>
      <w:r>
        <w:rPr>
          <w:rFonts w:hint="eastAsia" w:ascii="宋体" w:hAnsi="宋体" w:eastAsia="宋体" w:cs="宋体"/>
          <w:b/>
          <w:color w:val="auto"/>
          <w:kern w:val="2"/>
          <w:sz w:val="24"/>
          <w:szCs w:val="24"/>
          <w:lang w:val="en-US" w:eastAsia="zh-CN" w:bidi="ar-SA"/>
        </w:rPr>
        <w:t xml:space="preserve">二○   年   月    日   </w:t>
      </w:r>
      <w:r>
        <w:rPr>
          <w:rFonts w:hint="eastAsia" w:ascii="宋体" w:hAnsi="宋体" w:eastAsia="宋体" w:cs="宋体"/>
          <w:color w:val="auto"/>
          <w:kern w:val="2"/>
          <w:sz w:val="24"/>
          <w:szCs w:val="24"/>
          <w:lang w:val="en-US" w:eastAsia="zh-CN" w:bidi="ar-SA"/>
        </w:rPr>
        <w:t xml:space="preserve">      日   期：二○   年   月   日</w:t>
      </w:r>
    </w:p>
    <w:p>
      <w:pPr>
        <w:spacing w:line="360" w:lineRule="auto"/>
        <w:ind w:left="420"/>
        <w:rPr>
          <w:rFonts w:hint="eastAsia" w:ascii="宋体" w:hAnsi="宋体" w:eastAsia="宋体" w:cs="宋体"/>
          <w:color w:val="auto"/>
          <w:sz w:val="24"/>
        </w:rPr>
      </w:pPr>
    </w:p>
    <w:p>
      <w:pPr>
        <w:spacing w:line="360" w:lineRule="auto"/>
        <w:rPr>
          <w:color w:val="auto"/>
        </w:rPr>
      </w:pPr>
      <w:r>
        <w:rPr>
          <w:rFonts w:hint="eastAsia" w:ascii="宋体" w:hAnsi="宋体" w:eastAsia="宋体" w:cs="宋体"/>
          <w:color w:val="auto"/>
          <w:sz w:val="24"/>
        </w:rPr>
        <w:br w:type="page"/>
      </w:r>
    </w:p>
    <w:p>
      <w:pPr>
        <w:pStyle w:val="3"/>
        <w:numPr>
          <w:ilvl w:val="0"/>
          <w:numId w:val="4"/>
        </w:numPr>
        <w:jc w:val="center"/>
        <w:rPr>
          <w:rFonts w:asciiTheme="minorEastAsia" w:hAnsiTheme="minorEastAsia" w:eastAsiaTheme="minorEastAsia" w:cstheme="minorEastAsia"/>
          <w:color w:val="auto"/>
          <w:sz w:val="36"/>
          <w:szCs w:val="36"/>
        </w:rPr>
      </w:pPr>
      <w:bookmarkStart w:id="127" w:name="_Toc27759"/>
      <w:r>
        <w:rPr>
          <w:rFonts w:hint="eastAsia" w:asciiTheme="minorEastAsia" w:hAnsiTheme="minorEastAsia" w:eastAsiaTheme="minorEastAsia" w:cstheme="minorEastAsia"/>
          <w:color w:val="auto"/>
          <w:sz w:val="36"/>
          <w:szCs w:val="36"/>
        </w:rPr>
        <w:t>竞争性磋商响应文件格式</w:t>
      </w:r>
      <w:bookmarkEnd w:id="127"/>
    </w:p>
    <w:p>
      <w:pPr>
        <w:autoSpaceDE w:val="0"/>
        <w:autoSpaceDN w:val="0"/>
        <w:adjustRightIn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封面：</w:t>
      </w:r>
    </w:p>
    <w:p>
      <w:pPr>
        <w:autoSpaceDE w:val="0"/>
        <w:autoSpaceDN w:val="0"/>
        <w:adjustRightInd w:val="0"/>
        <w:rPr>
          <w:rFonts w:asciiTheme="minorEastAsia" w:hAnsiTheme="minorEastAsia" w:eastAsiaTheme="minorEastAsia" w:cstheme="minorEastAsia"/>
          <w:color w:val="auto"/>
        </w:rPr>
      </w:pPr>
    </w:p>
    <w:p>
      <w:pPr>
        <w:autoSpaceDE w:val="0"/>
        <w:autoSpaceDN w:val="0"/>
        <w:adjustRightInd w:val="0"/>
        <w:rPr>
          <w:rFonts w:asciiTheme="minorEastAsia" w:hAnsiTheme="minorEastAsia" w:eastAsiaTheme="minorEastAsia" w:cstheme="minorEastAsia"/>
          <w:color w:val="auto"/>
        </w:rPr>
      </w:pPr>
    </w:p>
    <w:p>
      <w:pPr>
        <w:autoSpaceDE w:val="0"/>
        <w:autoSpaceDN w:val="0"/>
        <w:adjustRightInd w:val="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政府采购</w:t>
      </w:r>
    </w:p>
    <w:p>
      <w:pPr>
        <w:autoSpaceDE w:val="0"/>
        <w:autoSpaceDN w:val="0"/>
        <w:adjustRightInd w:val="0"/>
        <w:jc w:val="center"/>
        <w:rPr>
          <w:rFonts w:asciiTheme="minorEastAsia" w:hAnsiTheme="minorEastAsia" w:eastAsiaTheme="minorEastAsia" w:cstheme="minorEastAsia"/>
          <w:b/>
          <w:color w:val="auto"/>
          <w:sz w:val="84"/>
          <w:szCs w:val="84"/>
        </w:rPr>
      </w:pPr>
      <w:r>
        <w:rPr>
          <w:rFonts w:hint="eastAsia" w:asciiTheme="minorEastAsia" w:hAnsiTheme="minorEastAsia" w:eastAsiaTheme="minorEastAsia" w:cstheme="minorEastAsia"/>
          <w:b/>
          <w:color w:val="auto"/>
          <w:sz w:val="84"/>
          <w:szCs w:val="84"/>
        </w:rPr>
        <w:t>响 应 文 件</w:t>
      </w: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（正本/副本）</w:t>
      </w: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ind w:firstLine="1190" w:firstLineChars="395"/>
        <w:rPr>
          <w:rFonts w:asciiTheme="minorEastAsia" w:hAnsiTheme="minorEastAsia" w:eastAsiaTheme="minorEastAsia" w:cstheme="minorEastAsia"/>
          <w:b/>
          <w:bCs/>
          <w:color w:val="auto"/>
          <w:sz w:val="30"/>
          <w:szCs w:val="30"/>
          <w:u w:val="single"/>
        </w:rPr>
      </w:pPr>
      <w:r>
        <w:rPr>
          <w:rFonts w:hint="eastAsia" w:asciiTheme="minorEastAsia" w:hAnsiTheme="minorEastAsia" w:eastAsiaTheme="minorEastAsia" w:cstheme="minorEastAsia"/>
          <w:b/>
          <w:bCs/>
          <w:color w:val="auto"/>
          <w:sz w:val="30"/>
          <w:szCs w:val="30"/>
        </w:rPr>
        <w:t>项目编号：</w:t>
      </w:r>
      <w:r>
        <w:rPr>
          <w:rFonts w:hint="eastAsia" w:asciiTheme="minorEastAsia" w:hAnsiTheme="minorEastAsia" w:eastAsiaTheme="minorEastAsia" w:cstheme="minorEastAsia"/>
          <w:b/>
          <w:bCs/>
          <w:color w:val="auto"/>
          <w:sz w:val="30"/>
          <w:szCs w:val="30"/>
          <w:u w:val="single"/>
        </w:rPr>
        <w:t xml:space="preserve">                            </w:t>
      </w:r>
    </w:p>
    <w:p>
      <w:pPr>
        <w:tabs>
          <w:tab w:val="left" w:pos="7230"/>
        </w:tabs>
        <w:ind w:firstLine="1190" w:firstLineChars="395"/>
        <w:rPr>
          <w:rFonts w:asciiTheme="minorEastAsia" w:hAnsiTheme="minorEastAsia" w:eastAsiaTheme="minorEastAsia" w:cstheme="minorEastAsia"/>
          <w:b/>
          <w:bCs/>
          <w:color w:val="auto"/>
          <w:sz w:val="30"/>
          <w:szCs w:val="30"/>
          <w:u w:val="single"/>
        </w:rPr>
      </w:pPr>
      <w:r>
        <w:rPr>
          <w:rFonts w:hint="eastAsia" w:asciiTheme="minorEastAsia" w:hAnsiTheme="minorEastAsia" w:eastAsiaTheme="minorEastAsia" w:cstheme="minorEastAsia"/>
          <w:b/>
          <w:bCs/>
          <w:color w:val="auto"/>
          <w:sz w:val="30"/>
          <w:szCs w:val="30"/>
        </w:rPr>
        <w:t>项目名称：</w:t>
      </w:r>
      <w:r>
        <w:rPr>
          <w:rFonts w:hint="eastAsia" w:asciiTheme="minorEastAsia" w:hAnsiTheme="minorEastAsia" w:eastAsiaTheme="minorEastAsia" w:cstheme="minorEastAsia"/>
          <w:b/>
          <w:bCs/>
          <w:color w:val="auto"/>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 xml:space="preserve">计划备案号： </w:t>
      </w:r>
      <w:r>
        <w:rPr>
          <w:rFonts w:hint="eastAsia" w:asciiTheme="minorEastAsia" w:hAnsiTheme="minorEastAsia" w:eastAsiaTheme="minorEastAsia" w:cstheme="minorEastAsia"/>
          <w:b/>
          <w:bCs/>
          <w:color w:val="auto"/>
          <w:sz w:val="30"/>
          <w:szCs w:val="30"/>
          <w:u w:val="single"/>
        </w:rPr>
        <w:t xml:space="preserve">                         </w:t>
      </w: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color w:val="auto"/>
          <w:sz w:val="32"/>
          <w:u w:val="single"/>
        </w:rPr>
      </w:pPr>
      <w:r>
        <w:rPr>
          <w:rFonts w:hint="eastAsia" w:asciiTheme="minorEastAsia" w:hAnsiTheme="minorEastAsia" w:eastAsiaTheme="minorEastAsia" w:cstheme="minorEastAsia"/>
          <w:color w:val="auto"/>
          <w:sz w:val="28"/>
          <w:szCs w:val="28"/>
        </w:rPr>
        <w:t>磋商供应商名称（盖章）：</w:t>
      </w:r>
      <w:r>
        <w:rPr>
          <w:rFonts w:hint="eastAsia" w:asciiTheme="minorEastAsia" w:hAnsiTheme="minorEastAsia" w:eastAsiaTheme="minorEastAsia" w:cstheme="minorEastAsia"/>
          <w:b/>
          <w:bCs/>
          <w:color w:val="auto"/>
          <w:sz w:val="32"/>
          <w:u w:val="single"/>
        </w:rPr>
        <w:t xml:space="preserve">                       </w:t>
      </w:r>
      <w:bookmarkStart w:id="128" w:name="_Toc23858"/>
      <w:bookmarkStart w:id="129" w:name="_Toc5751"/>
    </w:p>
    <w:p>
      <w:pPr>
        <w:autoSpaceDE w:val="0"/>
        <w:autoSpaceDN w:val="0"/>
        <w:adjustRightInd w:val="0"/>
        <w:spacing w:line="360" w:lineRule="auto"/>
        <w:ind w:firstLine="1260" w:firstLineChars="450"/>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日          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p>
    <w:bookmarkEnd w:id="128"/>
    <w:bookmarkEnd w:id="129"/>
    <w:p>
      <w:pPr>
        <w:autoSpaceDE w:val="0"/>
        <w:autoSpaceDN w:val="0"/>
        <w:adjustRightInd w:val="0"/>
        <w:spacing w:line="360" w:lineRule="auto"/>
        <w:jc w:val="center"/>
        <w:rPr>
          <w:rFonts w:asciiTheme="minorEastAsia" w:hAnsiTheme="minorEastAsia" w:eastAsiaTheme="minorEastAsia" w:cstheme="minorEastAsia"/>
          <w:b/>
          <w:bCs/>
          <w:color w:val="auto"/>
          <w:sz w:val="24"/>
        </w:rPr>
      </w:pPr>
      <w:bookmarkStart w:id="130" w:name="_Toc360174584"/>
      <w:bookmarkStart w:id="131" w:name="_Toc264644272"/>
      <w:bookmarkStart w:id="132" w:name="_Toc533330957"/>
      <w:bookmarkStart w:id="133" w:name="_Toc211783342"/>
      <w:bookmarkStart w:id="134" w:name="_Toc533331084"/>
      <w:bookmarkStart w:id="135" w:name="_Toc11320441"/>
      <w:r>
        <w:rPr>
          <w:rFonts w:hint="eastAsia" w:asciiTheme="minorEastAsia" w:hAnsiTheme="minorEastAsia" w:eastAsiaTheme="minorEastAsia" w:cstheme="minorEastAsia"/>
          <w:b/>
          <w:bCs/>
          <w:color w:val="auto"/>
          <w:sz w:val="24"/>
        </w:rPr>
        <w:br w:type="page"/>
      </w:r>
      <w:r>
        <w:rPr>
          <w:rFonts w:hint="eastAsia" w:asciiTheme="minorEastAsia" w:hAnsiTheme="minorEastAsia" w:eastAsiaTheme="minorEastAsia" w:cstheme="minorEastAsia"/>
          <w:b/>
          <w:bCs/>
          <w:color w:val="auto"/>
          <w:sz w:val="24"/>
        </w:rPr>
        <w:t>响应文件目录</w:t>
      </w:r>
      <w:bookmarkEnd w:id="130"/>
      <w:bookmarkEnd w:id="131"/>
    </w:p>
    <w:p>
      <w:pPr>
        <w:autoSpaceDE w:val="0"/>
        <w:autoSpaceDN w:val="0"/>
        <w:adjustRightInd w:val="0"/>
        <w:rPr>
          <w:rFonts w:asciiTheme="minorEastAsia" w:hAnsiTheme="minorEastAsia" w:eastAsiaTheme="minorEastAsia" w:cstheme="minorEastAsia"/>
          <w:b/>
          <w:bCs/>
          <w:color w:val="auto"/>
          <w:szCs w:val="21"/>
        </w:rPr>
      </w:pPr>
    </w:p>
    <w:p>
      <w:pPr>
        <w:autoSpaceDE w:val="0"/>
        <w:autoSpaceDN w:val="0"/>
        <w:adjustRightInd w:val="0"/>
        <w:spacing w:line="360" w:lineRule="auto"/>
        <w:rPr>
          <w:rFonts w:ascii="宋体" w:hAnsi="宋体" w:cs="宋体"/>
          <w:b/>
          <w:color w:val="auto"/>
          <w:szCs w:val="21"/>
        </w:rPr>
      </w:pPr>
      <w:r>
        <w:rPr>
          <w:rFonts w:hint="eastAsia" w:ascii="宋体" w:hAnsi="宋体" w:cs="宋体"/>
          <w:b/>
          <w:color w:val="auto"/>
          <w:szCs w:val="21"/>
        </w:rPr>
        <w:t>注：响应文件目录及内容每页须顺序编写页码。</w:t>
      </w:r>
    </w:p>
    <w:p>
      <w:pPr>
        <w:autoSpaceDE w:val="0"/>
        <w:autoSpaceDN w:val="0"/>
        <w:adjustRightInd w:val="0"/>
        <w:spacing w:line="360" w:lineRule="auto"/>
        <w:jc w:val="center"/>
        <w:outlineLvl w:val="1"/>
        <w:rPr>
          <w:rFonts w:ascii="宋体" w:hAnsi="宋体" w:cs="宋体"/>
          <w:b/>
          <w:color w:val="auto"/>
          <w:szCs w:val="21"/>
        </w:rPr>
      </w:pPr>
      <w:bookmarkStart w:id="136" w:name="_Toc10611"/>
      <w:r>
        <w:rPr>
          <w:rFonts w:hint="eastAsia" w:ascii="宋体" w:hAnsi="宋体" w:cs="宋体"/>
          <w:b/>
          <w:color w:val="auto"/>
          <w:szCs w:val="21"/>
        </w:rPr>
        <w:br w:type="textWrapping"/>
      </w:r>
      <w:r>
        <w:rPr>
          <w:rFonts w:hint="eastAsia" w:ascii="宋体" w:hAnsi="宋体" w:cs="宋体"/>
          <w:b/>
          <w:color w:val="auto"/>
          <w:szCs w:val="21"/>
        </w:rPr>
        <w:t>一、评分标准索引表</w:t>
      </w:r>
      <w:bookmarkEnd w:id="136"/>
    </w:p>
    <w:tbl>
      <w:tblPr>
        <w:tblStyle w:val="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color w:val="auto"/>
                <w:spacing w:val="-6"/>
                <w:szCs w:val="21"/>
              </w:rPr>
            </w:pPr>
            <w:r>
              <w:rPr>
                <w:rFonts w:hint="eastAsia" w:ascii="宋体" w:hAnsi="宋体" w:cs="宋体"/>
                <w:b/>
                <w:bCs/>
                <w:color w:val="auto"/>
                <w:szCs w:val="21"/>
              </w:rPr>
              <w:t>类别</w:t>
            </w:r>
          </w:p>
        </w:tc>
        <w:tc>
          <w:tcPr>
            <w:tcW w:w="1285" w:type="dxa"/>
            <w:tcBorders>
              <w:top w:val="single" w:color="auto" w:sz="12" w:space="0"/>
            </w:tcBorders>
            <w:vAlign w:val="center"/>
          </w:tcPr>
          <w:p>
            <w:pPr>
              <w:spacing w:line="360" w:lineRule="auto"/>
              <w:jc w:val="center"/>
              <w:rPr>
                <w:rFonts w:ascii="宋体" w:hAnsi="宋体" w:cs="宋体"/>
                <w:b/>
                <w:bCs/>
                <w:color w:val="auto"/>
                <w:spacing w:val="-6"/>
                <w:szCs w:val="21"/>
              </w:rPr>
            </w:pPr>
            <w:r>
              <w:rPr>
                <w:rFonts w:hint="eastAsia" w:ascii="宋体" w:hAnsi="宋体" w:cs="宋体"/>
                <w:b/>
                <w:bCs/>
                <w:color w:val="auto"/>
                <w:szCs w:val="21"/>
              </w:rPr>
              <w:t>评审因素</w:t>
            </w:r>
          </w:p>
        </w:tc>
        <w:tc>
          <w:tcPr>
            <w:tcW w:w="5358" w:type="dxa"/>
            <w:tcBorders>
              <w:top w:val="single" w:color="auto" w:sz="12" w:space="0"/>
            </w:tcBorders>
            <w:vAlign w:val="center"/>
          </w:tcPr>
          <w:p>
            <w:pPr>
              <w:spacing w:line="360" w:lineRule="auto"/>
              <w:jc w:val="center"/>
              <w:rPr>
                <w:rFonts w:ascii="宋体" w:hAnsi="宋体" w:cs="宋体"/>
                <w:b/>
                <w:bCs/>
                <w:color w:val="auto"/>
                <w:spacing w:val="-6"/>
                <w:szCs w:val="21"/>
              </w:rPr>
            </w:pPr>
            <w:r>
              <w:rPr>
                <w:rFonts w:hint="eastAsia" w:ascii="宋体" w:hAnsi="宋体" w:cs="宋体"/>
                <w:b/>
                <w:bCs/>
                <w:color w:val="auto"/>
                <w:szCs w:val="21"/>
              </w:rPr>
              <w:t>评审标准</w:t>
            </w:r>
          </w:p>
        </w:tc>
        <w:tc>
          <w:tcPr>
            <w:tcW w:w="825" w:type="dxa"/>
            <w:tcBorders>
              <w:top w:val="single" w:color="auto" w:sz="12" w:space="0"/>
            </w:tcBorders>
            <w:vAlign w:val="center"/>
          </w:tcPr>
          <w:p>
            <w:pPr>
              <w:spacing w:line="360" w:lineRule="auto"/>
              <w:jc w:val="center"/>
              <w:rPr>
                <w:rFonts w:ascii="宋体" w:hAnsi="宋体" w:cs="宋体"/>
                <w:b/>
                <w:bCs/>
                <w:color w:val="auto"/>
                <w:szCs w:val="21"/>
              </w:rPr>
            </w:pPr>
            <w:r>
              <w:rPr>
                <w:rFonts w:hint="eastAsia" w:ascii="宋体" w:hAnsi="宋体" w:cs="宋体"/>
                <w:b/>
                <w:bCs/>
                <w:color w:val="auto"/>
                <w:szCs w:val="21"/>
              </w:rPr>
              <w:t>分值</w:t>
            </w:r>
          </w:p>
        </w:tc>
        <w:tc>
          <w:tcPr>
            <w:tcW w:w="1133" w:type="dxa"/>
            <w:tcBorders>
              <w:top w:val="single" w:color="auto" w:sz="12" w:space="0"/>
            </w:tcBorders>
            <w:vAlign w:val="center"/>
          </w:tcPr>
          <w:p>
            <w:pPr>
              <w:spacing w:line="360" w:lineRule="auto"/>
              <w:jc w:val="center"/>
              <w:rPr>
                <w:rFonts w:ascii="宋体" w:hAnsi="宋体" w:cs="宋体"/>
                <w:b/>
                <w:bCs/>
                <w:color w:val="auto"/>
                <w:szCs w:val="21"/>
              </w:rPr>
            </w:pPr>
            <w:r>
              <w:rPr>
                <w:rFonts w:hint="eastAsia" w:ascii="宋体" w:hAnsi="宋体" w:cs="宋体"/>
                <w:b/>
                <w:bCs/>
                <w:color w:val="auto"/>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color w:val="auto"/>
                <w:spacing w:val="-6"/>
                <w:szCs w:val="21"/>
              </w:rPr>
            </w:pPr>
          </w:p>
        </w:tc>
        <w:tc>
          <w:tcPr>
            <w:tcW w:w="1285" w:type="dxa"/>
            <w:vAlign w:val="center"/>
          </w:tcPr>
          <w:p>
            <w:pPr>
              <w:widowControl/>
              <w:spacing w:line="360" w:lineRule="auto"/>
              <w:jc w:val="center"/>
              <w:textAlignment w:val="center"/>
              <w:rPr>
                <w:rFonts w:ascii="宋体" w:hAnsi="宋体" w:cs="宋体"/>
                <w:color w:val="auto"/>
                <w:spacing w:val="-6"/>
                <w:szCs w:val="21"/>
              </w:rPr>
            </w:pPr>
          </w:p>
        </w:tc>
        <w:tc>
          <w:tcPr>
            <w:tcW w:w="5358" w:type="dxa"/>
            <w:vAlign w:val="center"/>
          </w:tcPr>
          <w:p>
            <w:pPr>
              <w:widowControl/>
              <w:spacing w:line="360" w:lineRule="auto"/>
              <w:jc w:val="left"/>
              <w:textAlignment w:val="center"/>
              <w:rPr>
                <w:rFonts w:ascii="宋体" w:hAnsi="宋体" w:cs="宋体"/>
                <w:color w:val="auto"/>
                <w:szCs w:val="21"/>
              </w:rPr>
            </w:pPr>
          </w:p>
        </w:tc>
        <w:tc>
          <w:tcPr>
            <w:tcW w:w="825" w:type="dxa"/>
            <w:vAlign w:val="center"/>
          </w:tcPr>
          <w:p>
            <w:pPr>
              <w:widowControl/>
              <w:spacing w:line="360" w:lineRule="auto"/>
              <w:jc w:val="center"/>
              <w:textAlignment w:val="center"/>
              <w:rPr>
                <w:rFonts w:ascii="宋体" w:hAnsi="宋体" w:cs="宋体"/>
                <w:color w:val="auto"/>
                <w:szCs w:val="21"/>
              </w:rPr>
            </w:pPr>
          </w:p>
        </w:tc>
        <w:tc>
          <w:tcPr>
            <w:tcW w:w="1133" w:type="dxa"/>
            <w:vAlign w:val="center"/>
          </w:tcPr>
          <w:p>
            <w:pPr>
              <w:widowControl/>
              <w:spacing w:line="360" w:lineRule="auto"/>
              <w:jc w:val="center"/>
              <w:textAlignment w:val="center"/>
              <w:rPr>
                <w:rFonts w:ascii="宋体" w:hAnsi="宋体" w:cs="宋体"/>
                <w:color w:val="auto"/>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color w:val="auto"/>
                <w:spacing w:val="-6"/>
                <w:szCs w:val="21"/>
              </w:rPr>
            </w:pPr>
          </w:p>
        </w:tc>
        <w:tc>
          <w:tcPr>
            <w:tcW w:w="1285" w:type="dxa"/>
            <w:vAlign w:val="center"/>
          </w:tcPr>
          <w:p>
            <w:pPr>
              <w:spacing w:line="360" w:lineRule="auto"/>
              <w:rPr>
                <w:rFonts w:ascii="宋体" w:hAnsi="宋体" w:cs="宋体"/>
                <w:color w:val="auto"/>
                <w:spacing w:val="-6"/>
                <w:kern w:val="0"/>
                <w:szCs w:val="21"/>
              </w:rPr>
            </w:pPr>
          </w:p>
        </w:tc>
        <w:tc>
          <w:tcPr>
            <w:tcW w:w="5358" w:type="dxa"/>
            <w:vAlign w:val="center"/>
          </w:tcPr>
          <w:p>
            <w:pPr>
              <w:spacing w:line="360" w:lineRule="auto"/>
              <w:rPr>
                <w:rFonts w:ascii="宋体" w:hAnsi="宋体" w:cs="宋体"/>
                <w:color w:val="auto"/>
                <w:spacing w:val="-6"/>
                <w:szCs w:val="21"/>
              </w:rPr>
            </w:pPr>
          </w:p>
        </w:tc>
        <w:tc>
          <w:tcPr>
            <w:tcW w:w="825" w:type="dxa"/>
            <w:vAlign w:val="center"/>
          </w:tcPr>
          <w:p>
            <w:pPr>
              <w:spacing w:line="360" w:lineRule="auto"/>
              <w:rPr>
                <w:rFonts w:ascii="宋体" w:hAnsi="宋体" w:cs="宋体"/>
                <w:color w:val="auto"/>
                <w:spacing w:val="-6"/>
                <w:szCs w:val="21"/>
              </w:rPr>
            </w:pPr>
          </w:p>
        </w:tc>
        <w:tc>
          <w:tcPr>
            <w:tcW w:w="1133" w:type="dxa"/>
            <w:vAlign w:val="center"/>
          </w:tcPr>
          <w:p>
            <w:pPr>
              <w:spacing w:line="360" w:lineRule="auto"/>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auto"/>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auto"/>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tcBorders>
              <w:bottom w:val="single" w:color="auto" w:sz="4" w:space="0"/>
            </w:tcBorders>
            <w:vAlign w:val="center"/>
          </w:tcPr>
          <w:p>
            <w:pPr>
              <w:spacing w:line="360" w:lineRule="auto"/>
              <w:rPr>
                <w:rFonts w:ascii="宋体" w:hAnsi="宋体" w:cs="宋体"/>
                <w:color w:val="auto"/>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tcBorders>
              <w:top w:val="single" w:color="auto" w:sz="4" w:space="0"/>
            </w:tcBorders>
            <w:vAlign w:val="center"/>
          </w:tcPr>
          <w:p>
            <w:pPr>
              <w:spacing w:line="360" w:lineRule="auto"/>
              <w:rPr>
                <w:rFonts w:ascii="宋体" w:hAnsi="宋体" w:cs="宋体"/>
                <w:color w:val="auto"/>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color w:val="auto"/>
                <w:spacing w:val="-6"/>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spacing w:line="360" w:lineRule="auto"/>
              <w:ind w:left="-4" w:leftChars="-2" w:firstLine="1" w:firstLineChars="1"/>
              <w:rPr>
                <w:rFonts w:ascii="宋体" w:hAnsi="宋体" w:cs="宋体"/>
                <w:color w:val="auto"/>
                <w:spacing w:val="-6"/>
                <w:szCs w:val="21"/>
              </w:rPr>
            </w:pPr>
          </w:p>
        </w:tc>
        <w:tc>
          <w:tcPr>
            <w:tcW w:w="825" w:type="dxa"/>
            <w:vAlign w:val="center"/>
          </w:tcPr>
          <w:p>
            <w:pPr>
              <w:spacing w:line="360" w:lineRule="auto"/>
              <w:ind w:left="-4" w:leftChars="-2" w:firstLine="1" w:firstLineChars="1"/>
              <w:rPr>
                <w:rFonts w:ascii="宋体" w:hAnsi="宋体" w:cs="宋体"/>
                <w:color w:val="auto"/>
                <w:spacing w:val="-6"/>
                <w:szCs w:val="21"/>
              </w:rPr>
            </w:pPr>
          </w:p>
        </w:tc>
        <w:tc>
          <w:tcPr>
            <w:tcW w:w="1133" w:type="dxa"/>
            <w:vAlign w:val="center"/>
          </w:tcPr>
          <w:p>
            <w:pPr>
              <w:spacing w:line="360" w:lineRule="auto"/>
              <w:ind w:left="-4" w:leftChars="-2" w:firstLine="1" w:firstLineChars="1"/>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color w:val="auto"/>
                <w:szCs w:val="21"/>
              </w:rPr>
            </w:pPr>
          </w:p>
        </w:tc>
        <w:tc>
          <w:tcPr>
            <w:tcW w:w="1285" w:type="dxa"/>
            <w:vAlign w:val="center"/>
          </w:tcPr>
          <w:p>
            <w:pPr>
              <w:spacing w:line="360" w:lineRule="auto"/>
              <w:ind w:left="-4" w:leftChars="-2" w:firstLine="2" w:firstLineChars="1"/>
              <w:rPr>
                <w:rFonts w:ascii="宋体" w:hAnsi="宋体" w:cs="宋体"/>
                <w:color w:val="auto"/>
                <w:szCs w:val="21"/>
              </w:rPr>
            </w:pPr>
          </w:p>
        </w:tc>
        <w:tc>
          <w:tcPr>
            <w:tcW w:w="5358" w:type="dxa"/>
            <w:vAlign w:val="center"/>
          </w:tcPr>
          <w:p>
            <w:pPr>
              <w:spacing w:line="360" w:lineRule="auto"/>
              <w:ind w:left="-4" w:leftChars="-2" w:firstLine="2" w:firstLineChars="1"/>
              <w:rPr>
                <w:rFonts w:ascii="宋体" w:hAnsi="宋体" w:cs="宋体"/>
                <w:color w:val="auto"/>
                <w:szCs w:val="21"/>
              </w:rPr>
            </w:pPr>
          </w:p>
        </w:tc>
        <w:tc>
          <w:tcPr>
            <w:tcW w:w="825" w:type="dxa"/>
            <w:vAlign w:val="center"/>
          </w:tcPr>
          <w:p>
            <w:pPr>
              <w:spacing w:line="360" w:lineRule="auto"/>
              <w:ind w:left="-4" w:leftChars="-2" w:firstLine="2" w:firstLineChars="1"/>
              <w:rPr>
                <w:rFonts w:ascii="宋体" w:hAnsi="宋体" w:cs="宋体"/>
                <w:color w:val="auto"/>
                <w:szCs w:val="21"/>
              </w:rPr>
            </w:pPr>
          </w:p>
        </w:tc>
        <w:tc>
          <w:tcPr>
            <w:tcW w:w="1133" w:type="dxa"/>
            <w:vAlign w:val="center"/>
          </w:tcPr>
          <w:p>
            <w:pPr>
              <w:spacing w:line="360" w:lineRule="auto"/>
              <w:ind w:left="-4" w:leftChars="-2" w:firstLine="2" w:firstLineChars="1"/>
              <w:rPr>
                <w:rFonts w:ascii="宋体" w:hAnsi="宋体" w:cs="宋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kern w:val="0"/>
                <w:szCs w:val="21"/>
              </w:rPr>
            </w:pPr>
          </w:p>
        </w:tc>
        <w:tc>
          <w:tcPr>
            <w:tcW w:w="5358" w:type="dxa"/>
            <w:vAlign w:val="center"/>
          </w:tcPr>
          <w:p>
            <w:pPr>
              <w:autoSpaceDE w:val="0"/>
              <w:autoSpaceDN w:val="0"/>
              <w:adjustRightInd w:val="0"/>
              <w:spacing w:line="360" w:lineRule="auto"/>
              <w:rPr>
                <w:rFonts w:ascii="宋体" w:hAnsi="宋体" w:cs="宋体"/>
                <w:color w:val="auto"/>
                <w:spacing w:val="-6"/>
                <w:kern w:val="0"/>
                <w:szCs w:val="21"/>
              </w:rPr>
            </w:pPr>
          </w:p>
        </w:tc>
        <w:tc>
          <w:tcPr>
            <w:tcW w:w="825" w:type="dxa"/>
            <w:vAlign w:val="center"/>
          </w:tcPr>
          <w:p>
            <w:pPr>
              <w:autoSpaceDE w:val="0"/>
              <w:autoSpaceDN w:val="0"/>
              <w:adjustRightInd w:val="0"/>
              <w:spacing w:line="360" w:lineRule="auto"/>
              <w:rPr>
                <w:rFonts w:ascii="宋体" w:hAnsi="宋体" w:cs="宋体"/>
                <w:color w:val="auto"/>
                <w:spacing w:val="-6"/>
                <w:kern w:val="0"/>
                <w:szCs w:val="21"/>
              </w:rPr>
            </w:pPr>
          </w:p>
        </w:tc>
        <w:tc>
          <w:tcPr>
            <w:tcW w:w="1133" w:type="dxa"/>
            <w:vAlign w:val="center"/>
          </w:tcPr>
          <w:p>
            <w:pPr>
              <w:autoSpaceDE w:val="0"/>
              <w:autoSpaceDN w:val="0"/>
              <w:adjustRightInd w:val="0"/>
              <w:spacing w:line="360" w:lineRule="auto"/>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spacing w:line="360" w:lineRule="auto"/>
              <w:ind w:left="-4" w:leftChars="-2" w:firstLine="1" w:firstLineChars="1"/>
              <w:rPr>
                <w:rFonts w:ascii="宋体" w:hAnsi="宋体" w:cs="宋体"/>
                <w:color w:val="auto"/>
                <w:spacing w:val="-6"/>
                <w:szCs w:val="21"/>
              </w:rPr>
            </w:pPr>
          </w:p>
        </w:tc>
        <w:tc>
          <w:tcPr>
            <w:tcW w:w="825" w:type="dxa"/>
            <w:vAlign w:val="center"/>
          </w:tcPr>
          <w:p>
            <w:pPr>
              <w:spacing w:line="360" w:lineRule="auto"/>
              <w:ind w:left="-4" w:leftChars="-2" w:firstLine="1" w:firstLineChars="1"/>
              <w:rPr>
                <w:rFonts w:ascii="宋体" w:hAnsi="宋体" w:cs="宋体"/>
                <w:color w:val="auto"/>
                <w:spacing w:val="-6"/>
                <w:szCs w:val="21"/>
              </w:rPr>
            </w:pPr>
          </w:p>
        </w:tc>
        <w:tc>
          <w:tcPr>
            <w:tcW w:w="1133" w:type="dxa"/>
            <w:vAlign w:val="center"/>
          </w:tcPr>
          <w:p>
            <w:pPr>
              <w:spacing w:line="360" w:lineRule="auto"/>
              <w:ind w:left="-4" w:leftChars="-2" w:firstLine="1" w:firstLineChars="1"/>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spacing w:line="360" w:lineRule="auto"/>
              <w:rPr>
                <w:rFonts w:ascii="宋体" w:hAnsi="宋体" w:cs="宋体"/>
                <w:color w:val="auto"/>
                <w:spacing w:val="-6"/>
                <w:szCs w:val="21"/>
              </w:rPr>
            </w:pPr>
          </w:p>
        </w:tc>
        <w:tc>
          <w:tcPr>
            <w:tcW w:w="825" w:type="dxa"/>
            <w:vAlign w:val="center"/>
          </w:tcPr>
          <w:p>
            <w:pPr>
              <w:spacing w:line="360" w:lineRule="auto"/>
              <w:rPr>
                <w:rFonts w:ascii="宋体" w:hAnsi="宋体" w:cs="宋体"/>
                <w:color w:val="auto"/>
                <w:spacing w:val="-6"/>
                <w:szCs w:val="21"/>
              </w:rPr>
            </w:pPr>
          </w:p>
        </w:tc>
        <w:tc>
          <w:tcPr>
            <w:tcW w:w="1133" w:type="dxa"/>
            <w:vAlign w:val="center"/>
          </w:tcPr>
          <w:p>
            <w:pPr>
              <w:spacing w:line="360" w:lineRule="auto"/>
              <w:rPr>
                <w:rFonts w:ascii="宋体" w:hAnsi="宋体" w:cs="宋体"/>
                <w:color w:val="auto"/>
                <w:spacing w:val="-6"/>
                <w:szCs w:val="21"/>
              </w:rPr>
            </w:pPr>
          </w:p>
        </w:tc>
      </w:tr>
    </w:tbl>
    <w:p>
      <w:pPr>
        <w:autoSpaceDE w:val="0"/>
        <w:autoSpaceDN w:val="0"/>
        <w:adjustRightInd w:val="0"/>
        <w:spacing w:line="480" w:lineRule="auto"/>
        <w:rPr>
          <w:rFonts w:asciiTheme="minorEastAsia" w:hAnsiTheme="minorEastAsia" w:eastAsiaTheme="minorEastAsia" w:cstheme="minorEastAsia"/>
          <w:b/>
          <w:color w:val="auto"/>
        </w:rPr>
      </w:pPr>
    </w:p>
    <w:p>
      <w:pPr>
        <w:adjustRightInd w:val="0"/>
        <w:snapToGrid w:val="0"/>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rPr>
        <w:br w:type="textWrapping"/>
      </w:r>
    </w:p>
    <w:p>
      <w:pPr>
        <w:adjustRightInd w:val="0"/>
        <w:snapToGrid w:val="0"/>
        <w:spacing w:line="480" w:lineRule="auto"/>
        <w:jc w:val="center"/>
        <w:outlineLvl w:val="1"/>
        <w:rPr>
          <w:rFonts w:asciiTheme="minorEastAsia" w:hAnsiTheme="minorEastAsia" w:eastAsiaTheme="minorEastAsia" w:cstheme="minorEastAsia"/>
          <w:b/>
          <w:color w:val="auto"/>
        </w:rPr>
      </w:pPr>
      <w:bookmarkStart w:id="137" w:name="_Toc5983"/>
      <w:bookmarkStart w:id="138" w:name="_Toc30144"/>
      <w:bookmarkStart w:id="139" w:name="_Toc15789"/>
      <w:bookmarkStart w:id="140" w:name="_Toc479184125"/>
      <w:r>
        <w:rPr>
          <w:rFonts w:hint="eastAsia" w:asciiTheme="minorEastAsia" w:hAnsiTheme="minorEastAsia" w:eastAsiaTheme="minorEastAsia" w:cstheme="minorEastAsia"/>
          <w:b/>
          <w:color w:val="auto"/>
        </w:rPr>
        <w:t>二、磋商书</w:t>
      </w:r>
      <w:bookmarkEnd w:id="137"/>
      <w:bookmarkEnd w:id="138"/>
      <w:bookmarkEnd w:id="139"/>
      <w:bookmarkEnd w:id="140"/>
    </w:p>
    <w:p>
      <w:pPr>
        <w:pStyle w:val="22"/>
        <w:rPr>
          <w:rFonts w:asciiTheme="minorEastAsia" w:hAnsiTheme="minorEastAsia" w:eastAsiaTheme="minorEastAsia" w:cstheme="minorEastAsia"/>
          <w:b/>
          <w:color w:val="auto"/>
          <w:szCs w:val="21"/>
        </w:rPr>
      </w:pPr>
    </w:p>
    <w:p>
      <w:pPr>
        <w:autoSpaceDE w:val="0"/>
        <w:autoSpaceDN w:val="0"/>
        <w:adjustRightInd w:val="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依据贵方（项目名称/项目编号）项目第</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w:t>
      </w:r>
    </w:p>
    <w:p>
      <w:pPr>
        <w:numPr>
          <w:ilvl w:val="1"/>
          <w:numId w:val="36"/>
        </w:numPr>
        <w:tabs>
          <w:tab w:val="left" w:pos="840"/>
          <w:tab w:val="clear" w:pos="360"/>
        </w:tabs>
        <w:autoSpaceDE w:val="0"/>
        <w:autoSpaceDN w:val="0"/>
        <w:adjustRightInd w:val="0"/>
        <w:ind w:left="840" w:hanging="4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竞争性磋商响应文件；</w:t>
      </w:r>
    </w:p>
    <w:p>
      <w:pPr>
        <w:numPr>
          <w:ilvl w:val="1"/>
          <w:numId w:val="36"/>
        </w:numPr>
        <w:tabs>
          <w:tab w:val="left" w:pos="840"/>
          <w:tab w:val="clear" w:pos="360"/>
        </w:tabs>
        <w:autoSpaceDE w:val="0"/>
        <w:autoSpaceDN w:val="0"/>
        <w:adjustRightInd w:val="0"/>
        <w:ind w:left="840" w:hanging="4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资格证明文件；</w:t>
      </w:r>
    </w:p>
    <w:p>
      <w:pPr>
        <w:numPr>
          <w:ilvl w:val="1"/>
          <w:numId w:val="36"/>
        </w:numPr>
        <w:tabs>
          <w:tab w:val="left" w:pos="840"/>
          <w:tab w:val="clear" w:pos="360"/>
        </w:tabs>
        <w:autoSpaceDE w:val="0"/>
        <w:autoSpaceDN w:val="0"/>
        <w:adjustRightInd w:val="0"/>
        <w:ind w:left="840" w:hanging="4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按采购的规定递交</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并进行如下承诺声明：</w:t>
      </w:r>
    </w:p>
    <w:p>
      <w:pPr>
        <w:numPr>
          <w:ilvl w:val="0"/>
          <w:numId w:val="37"/>
        </w:numPr>
        <w:tabs>
          <w:tab w:val="left" w:pos="840"/>
        </w:tabs>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zh-CN"/>
        </w:rPr>
        <w:t>我公司在参加本次政府采购活动前</w:t>
      </w:r>
      <w:r>
        <w:rPr>
          <w:rFonts w:hint="eastAsia" w:asciiTheme="minorEastAsia" w:hAnsiTheme="minorEastAsia" w:eastAsiaTheme="minorEastAsia" w:cstheme="minorEastAsia"/>
          <w:color w:val="auto"/>
          <w:kern w:val="0"/>
          <w:szCs w:val="21"/>
        </w:rPr>
        <w:t>3年内在经营活动中没有重大违法记录；</w:t>
      </w:r>
    </w:p>
    <w:p>
      <w:pPr>
        <w:numPr>
          <w:ilvl w:val="0"/>
          <w:numId w:val="37"/>
        </w:numPr>
        <w:tabs>
          <w:tab w:val="left" w:pos="840"/>
        </w:tabs>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我公司在本响应文件中所提供的全部资格证明文件均真实有效，我方承诺对其真实性负责并承担相应后果；</w:t>
      </w:r>
    </w:p>
    <w:p>
      <w:pPr>
        <w:numPr>
          <w:ilvl w:val="0"/>
          <w:numId w:val="37"/>
        </w:numPr>
        <w:tabs>
          <w:tab w:val="left" w:pos="840"/>
        </w:tabs>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我公司在本响应文件中所响应的内容均将成为签订合同的依据，并承诺按响应内容提供相应服务；</w:t>
      </w:r>
    </w:p>
    <w:p>
      <w:pPr>
        <w:numPr>
          <w:ilvl w:val="0"/>
          <w:numId w:val="37"/>
        </w:numPr>
        <w:tabs>
          <w:tab w:val="left" w:pos="840"/>
        </w:tabs>
        <w:autoSpaceDE w:val="0"/>
        <w:autoSpaceDN w:val="0"/>
        <w:adjustRightInd w:val="0"/>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rPr>
        <w:t>4.1</w:t>
      </w:r>
      <w:r>
        <w:rPr>
          <w:rFonts w:hint="eastAsia" w:asciiTheme="minorEastAsia" w:hAnsiTheme="minorEastAsia" w:eastAsiaTheme="minorEastAsia" w:cstheme="minorEastAsia"/>
          <w:color w:val="auto"/>
        </w:rPr>
        <w:t>与我方单位负责人为同一人的其他单位名称：□无；□有，具体单位名称为：</w:t>
      </w:r>
      <w:r>
        <w:rPr>
          <w:rFonts w:hint="eastAsia" w:asciiTheme="minorEastAsia" w:hAnsiTheme="minorEastAsia" w:eastAsiaTheme="minorEastAsia" w:cstheme="minorEastAsia"/>
          <w:color w:val="auto"/>
          <w:u w:val="single"/>
        </w:rPr>
        <w:t>     </w:t>
      </w:r>
      <w:r>
        <w:rPr>
          <w:rFonts w:hint="eastAsia" w:asciiTheme="minorEastAsia" w:hAnsiTheme="minorEastAsia" w:eastAsiaTheme="minorEastAsia" w:cstheme="minorEastAsia"/>
          <w:color w:val="auto"/>
        </w:rPr>
        <w:t xml:space="preserve">      </w:t>
      </w:r>
    </w:p>
    <w:p>
      <w:pPr>
        <w:tabs>
          <w:tab w:val="left" w:pos="840"/>
        </w:tabs>
        <w:autoSpaceDE w:val="0"/>
        <w:autoSpaceDN w:val="0"/>
        <w:adjustRightInd w:val="0"/>
        <w:ind w:left="420" w:left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4.2与我方存在控股、管理关系的其他单位的名称：□无；□有，具体单位名称为：</w:t>
      </w:r>
      <w:r>
        <w:rPr>
          <w:rFonts w:hint="eastAsia" w:asciiTheme="minorEastAsia" w:hAnsiTheme="minorEastAsia" w:eastAsiaTheme="minorEastAsia" w:cstheme="minorEastAsia"/>
          <w:color w:val="auto"/>
          <w:u w:val="single"/>
        </w:rPr>
        <w:t>     </w:t>
      </w:r>
    </w:p>
    <w:p>
      <w:pPr>
        <w:tabs>
          <w:tab w:val="left" w:pos="840"/>
        </w:tabs>
        <w:autoSpaceDE w:val="0"/>
        <w:autoSpaceDN w:val="0"/>
        <w:adjustRightInd w:val="0"/>
        <w:ind w:left="420" w:left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color w:val="auto"/>
          <w:u w:val="single"/>
        </w:rPr>
        <w:t>     </w:t>
      </w:r>
    </w:p>
    <w:p>
      <w:pPr>
        <w:rPr>
          <w:color w:val="auto"/>
        </w:rPr>
      </w:pPr>
      <w:r>
        <w:rPr>
          <w:rFonts w:hint="eastAsia" w:asciiTheme="minorEastAsia" w:hAnsiTheme="minorEastAsia" w:eastAsiaTheme="minorEastAsia" w:cstheme="minorEastAsia"/>
          <w:b/>
          <w:bCs/>
          <w:color w:val="auto"/>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在此，我方宣布同意如下：</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所附《报价一览表》中规定的应提交和交付的货物报价总价为</w:t>
      </w:r>
      <w:r>
        <w:rPr>
          <w:rFonts w:hint="eastAsia" w:asciiTheme="minorEastAsia" w:hAnsiTheme="minorEastAsia" w:eastAsiaTheme="minorEastAsia" w:cstheme="minorEastAsia"/>
          <w:color w:val="auto"/>
          <w:kern w:val="0"/>
          <w:szCs w:val="21"/>
          <w:u w:val="single"/>
        </w:rPr>
        <w:t>（注明币种，并用文字和数字表示的报价总价）</w:t>
      </w:r>
      <w:r>
        <w:rPr>
          <w:rFonts w:hint="eastAsia" w:asciiTheme="minorEastAsia" w:hAnsiTheme="minorEastAsia" w:eastAsiaTheme="minorEastAsia" w:cstheme="minorEastAsia"/>
          <w:color w:val="auto"/>
          <w:kern w:val="0"/>
          <w:szCs w:val="21"/>
        </w:rPr>
        <w:t>。</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将按竞争性磋商采购文件的约定履行合同责任和义务。</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已详细审查全部竞争性磋商采购文件，包括</w:t>
      </w:r>
      <w:r>
        <w:rPr>
          <w:rFonts w:hint="eastAsia" w:asciiTheme="minorEastAsia" w:hAnsiTheme="minorEastAsia" w:eastAsiaTheme="minorEastAsia" w:cstheme="minorEastAsia"/>
          <w:color w:val="auto"/>
          <w:kern w:val="0"/>
          <w:szCs w:val="21"/>
          <w:u w:val="single"/>
        </w:rPr>
        <w:t>（补充文件等）</w:t>
      </w:r>
      <w:r>
        <w:rPr>
          <w:rFonts w:hint="eastAsia" w:asciiTheme="minorEastAsia" w:hAnsiTheme="minorEastAsia" w:eastAsiaTheme="minorEastAsia" w:cstheme="minorEastAsia"/>
          <w:color w:val="auto"/>
          <w:kern w:val="0"/>
          <w:szCs w:val="21"/>
        </w:rPr>
        <w:t>，对此无异议。</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本竞争性磋商响应文件的有效期自磋商截止时间起共</w:t>
      </w:r>
      <w:r>
        <w:rPr>
          <w:rFonts w:hint="eastAsia" w:asciiTheme="minorEastAsia" w:hAnsiTheme="minorEastAsia" w:eastAsiaTheme="minorEastAsia" w:cstheme="minorEastAsia"/>
          <w:color w:val="auto"/>
          <w:kern w:val="0"/>
          <w:szCs w:val="21"/>
          <w:u w:val="single"/>
        </w:rPr>
        <w:t xml:space="preserve">  90  </w:t>
      </w:r>
      <w:r>
        <w:rPr>
          <w:rFonts w:hint="eastAsia" w:asciiTheme="minorEastAsia" w:hAnsiTheme="minorEastAsia" w:eastAsiaTheme="minorEastAsia" w:cstheme="minorEastAsia"/>
          <w:color w:val="auto"/>
          <w:kern w:val="0"/>
          <w:szCs w:val="21"/>
        </w:rPr>
        <w:t>日历天。</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接收竞争性磋商采购文件中关于没收保证金的约定。</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同意提供按照贵方可能要求的与其报价有关的一切数据或资料。</w:t>
      </w:r>
    </w:p>
    <w:p>
      <w:pPr>
        <w:numPr>
          <w:ilvl w:val="6"/>
          <w:numId w:val="38"/>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与本报价有关的一切正式往来信函请寄：</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rPr>
        <w:br w:type="textWrapping"/>
      </w:r>
      <w:r>
        <w:rPr>
          <w:rFonts w:hint="eastAsia" w:asciiTheme="minorEastAsia" w:hAnsiTheme="minorEastAsia" w:eastAsiaTheme="minorEastAsia" w:cstheme="minorEastAsia"/>
          <w:color w:val="auto"/>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color w:val="auto"/>
        </w:rPr>
      </w:pPr>
      <w:bookmarkStart w:id="141" w:name="_Toc479184126"/>
      <w:bookmarkStart w:id="142" w:name="_Toc1319"/>
      <w:bookmarkStart w:id="143" w:name="_Toc13969"/>
      <w:bookmarkStart w:id="144" w:name="_Toc24205"/>
      <w:r>
        <w:rPr>
          <w:rFonts w:hint="eastAsia" w:asciiTheme="minorEastAsia" w:hAnsiTheme="minorEastAsia" w:eastAsiaTheme="minorEastAsia" w:cstheme="minorEastAsia"/>
          <w:b/>
          <w:color w:val="auto"/>
        </w:rPr>
        <w:br w:type="textWrapping"/>
      </w:r>
      <w:r>
        <w:rPr>
          <w:rFonts w:hint="eastAsia" w:asciiTheme="minorEastAsia" w:hAnsiTheme="minorEastAsia" w:eastAsiaTheme="minorEastAsia" w:cstheme="minorEastAsia"/>
          <w:b/>
          <w:color w:val="auto"/>
        </w:rPr>
        <w:br w:type="textWrapping"/>
      </w:r>
      <w:r>
        <w:rPr>
          <w:rFonts w:hint="eastAsia" w:asciiTheme="minorEastAsia" w:hAnsiTheme="minorEastAsia" w:eastAsiaTheme="minorEastAsia" w:cstheme="minorEastAsia"/>
          <w:b/>
          <w:color w:val="auto"/>
        </w:rPr>
        <w:br w:type="textWrapping"/>
      </w:r>
      <w:r>
        <w:rPr>
          <w:rFonts w:hint="eastAsia" w:asciiTheme="minorEastAsia" w:hAnsiTheme="minorEastAsia" w:eastAsiaTheme="minorEastAsia" w:cstheme="minorEastAsia"/>
          <w:b/>
          <w:color w:val="auto"/>
        </w:rPr>
        <w:t>三、法定代表人授权书</w:t>
      </w:r>
      <w:bookmarkEnd w:id="141"/>
      <w:bookmarkEnd w:id="142"/>
      <w:bookmarkEnd w:id="143"/>
      <w:bookmarkEnd w:id="144"/>
    </w:p>
    <w:p>
      <w:pPr>
        <w:rPr>
          <w:rFonts w:asciiTheme="minorEastAsia" w:hAnsiTheme="minorEastAsia" w:eastAsiaTheme="minorEastAsia" w:cstheme="minorEastAsia"/>
          <w:color w:val="auto"/>
          <w:kern w:val="0"/>
          <w:szCs w:val="21"/>
        </w:rPr>
      </w:pPr>
    </w:p>
    <w:p>
      <w:pPr>
        <w:rPr>
          <w:rFonts w:asciiTheme="minorEastAsia" w:hAnsiTheme="minorEastAsia" w:eastAsiaTheme="minorEastAsia" w:cstheme="minorEastAsia"/>
          <w:color w:val="auto"/>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兹授权</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同志为我公司参加贵单位组织的</w:t>
      </w:r>
      <w:r>
        <w:rPr>
          <w:rFonts w:hint="eastAsia" w:asciiTheme="minorEastAsia" w:hAnsiTheme="minorEastAsia" w:eastAsiaTheme="minorEastAsia" w:cstheme="minorEastAsia"/>
          <w:color w:val="auto"/>
          <w:kern w:val="0"/>
          <w:szCs w:val="21"/>
          <w:u w:val="single"/>
        </w:rPr>
        <w:t>（项目名称）</w:t>
      </w:r>
      <w:r>
        <w:rPr>
          <w:rFonts w:hint="eastAsia" w:asciiTheme="minorEastAsia" w:hAnsiTheme="minorEastAsia" w:eastAsiaTheme="minorEastAsia" w:cstheme="minorEastAsia"/>
          <w:color w:val="auto"/>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日起至</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授权单位（盖章）：</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签发日期：</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附：</w:t>
      </w:r>
      <w:r>
        <w:rPr>
          <w:rFonts w:hint="eastAsia" w:asciiTheme="minorEastAsia" w:hAnsiTheme="minorEastAsia" w:eastAsiaTheme="minorEastAsia" w:cstheme="minorEastAsia"/>
          <w:color w:val="auto"/>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u w:val="single"/>
        </w:rPr>
      </w:pPr>
      <w:r>
        <w:rPr>
          <w:rFonts w:hint="eastAsia" w:asciiTheme="minorEastAsia" w:hAnsiTheme="minorEastAsia" w:eastAsiaTheme="minorEastAsia" w:cstheme="minorEastAsia"/>
          <w:color w:val="auto"/>
          <w:kern w:val="0"/>
          <w:szCs w:val="21"/>
        </w:rPr>
        <w:t>授权代表职务：</w:t>
      </w:r>
      <w:r>
        <w:rPr>
          <w:rFonts w:hint="eastAsia" w:asciiTheme="minorEastAsia" w:hAnsiTheme="minorEastAsia" w:eastAsiaTheme="minorEastAsia" w:cstheme="minorEastAsia"/>
          <w:color w:val="auto"/>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性别：</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授权代表身份证号码：</w:t>
      </w:r>
      <w:r>
        <w:rPr>
          <w:rFonts w:hint="eastAsia" w:asciiTheme="minorEastAsia" w:hAnsiTheme="minorEastAsia" w:eastAsiaTheme="minorEastAsia" w:cstheme="minorEastAsia"/>
          <w:color w:val="auto"/>
          <w:kern w:val="0"/>
          <w:szCs w:val="21"/>
          <w:u w:val="single"/>
        </w:rPr>
        <w:t xml:space="preserve">                                                                                    </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rPr>
                <w:color w:val="auto"/>
              </w:rPr>
            </w:pPr>
            <w:r>
              <w:rPr>
                <w:rFonts w:hint="eastAsia"/>
                <w:color w:val="auto"/>
              </w:rPr>
              <w:t>授权代表身份证正反面（真彩扫描件）：</w:t>
            </w:r>
          </w:p>
          <w:p>
            <w:pPr>
              <w:autoSpaceDE w:val="0"/>
              <w:autoSpaceDN w:val="0"/>
              <w:adjustRightInd w:val="0"/>
              <w:spacing w:line="360" w:lineRule="auto"/>
              <w:jc w:val="left"/>
              <w:rPr>
                <w:color w:val="auto"/>
              </w:rPr>
            </w:pPr>
            <w:r>
              <w:rPr>
                <w:rFonts w:hint="eastAsia"/>
                <w:color w:val="auto"/>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rPr>
                <w:color w:val="auto"/>
              </w:rPr>
            </w:pPr>
            <w:r>
              <w:rPr>
                <w:rFonts w:hint="eastAsia"/>
                <w:b/>
                <w:bCs/>
                <w:color w:val="auto"/>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bookmarkStart w:id="145" w:name="_Toc432149008"/>
      <w:bookmarkStart w:id="146" w:name="_Toc479184127"/>
      <w:bookmarkStart w:id="147" w:name="_Toc30245"/>
      <w:bookmarkStart w:id="148" w:name="_Toc29904"/>
      <w:bookmarkStart w:id="149" w:name="_Toc424832832"/>
      <w:bookmarkStart w:id="150" w:name="_Toc30476"/>
      <w:bookmarkStart w:id="151" w:name="_Toc360120184"/>
      <w:bookmarkStart w:id="152" w:name="_Toc25052"/>
      <w:r>
        <w:rPr>
          <w:rFonts w:hint="eastAsia" w:asciiTheme="minorEastAsia" w:hAnsiTheme="minorEastAsia" w:eastAsiaTheme="minorEastAsia" w:cstheme="minorEastAsia"/>
          <w:b/>
          <w:bCs/>
          <w:color w:val="auto"/>
          <w:kern w:val="0"/>
          <w:szCs w:val="21"/>
        </w:rPr>
        <w:br w:type="textWrapping"/>
      </w:r>
      <w:r>
        <w:rPr>
          <w:rFonts w:hint="eastAsia" w:asciiTheme="minorEastAsia" w:hAnsiTheme="minorEastAsia" w:eastAsiaTheme="minorEastAsia" w:cstheme="minorEastAsia"/>
          <w:b/>
          <w:bCs/>
          <w:color w:val="auto"/>
          <w:kern w:val="0"/>
          <w:szCs w:val="21"/>
        </w:rPr>
        <w:br w:type="textWrapping"/>
      </w:r>
      <w:r>
        <w:rPr>
          <w:rFonts w:hint="eastAsia" w:asciiTheme="minorEastAsia" w:hAnsiTheme="minorEastAsia" w:eastAsiaTheme="minorEastAsia" w:cstheme="minorEastAsia"/>
          <w:b/>
          <w:bCs/>
          <w:color w:val="auto"/>
          <w:kern w:val="0"/>
          <w:szCs w:val="21"/>
        </w:rPr>
        <w:t>四、</w:t>
      </w:r>
      <w:r>
        <w:rPr>
          <w:rFonts w:hint="eastAsia" w:asciiTheme="minorEastAsia" w:hAnsiTheme="minorEastAsia" w:eastAsiaTheme="minorEastAsia" w:cstheme="minorEastAsia"/>
          <w:b/>
          <w:bCs/>
          <w:color w:val="auto"/>
          <w:szCs w:val="21"/>
        </w:rPr>
        <w:t>法定代表人身份证明书</w:t>
      </w:r>
      <w:bookmarkEnd w:id="145"/>
      <w:bookmarkEnd w:id="146"/>
      <w:bookmarkEnd w:id="147"/>
      <w:bookmarkEnd w:id="148"/>
      <w:bookmarkEnd w:id="149"/>
      <w:bookmarkEnd w:id="150"/>
      <w:bookmarkEnd w:id="151"/>
      <w:bookmarkEnd w:id="152"/>
    </w:p>
    <w:p>
      <w:pPr>
        <w:spacing w:line="360" w:lineRule="auto"/>
        <w:rPr>
          <w:rFonts w:asciiTheme="minorEastAsia" w:hAnsiTheme="minorEastAsia" w:eastAsiaTheme="minorEastAsia" w:cstheme="minorEastAsia"/>
          <w:color w:val="auto"/>
          <w:kern w:val="0"/>
          <w:szCs w:val="21"/>
        </w:rPr>
      </w:pP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兹证明</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（姓名）</w:t>
      </w:r>
      <w:r>
        <w:rPr>
          <w:rFonts w:hint="eastAsia" w:asciiTheme="minorEastAsia" w:hAnsiTheme="minorEastAsia" w:eastAsiaTheme="minorEastAsia" w:cstheme="minorEastAsia"/>
          <w:color w:val="auto"/>
          <w:szCs w:val="21"/>
        </w:rPr>
        <w:t>在我单位任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职务</w:t>
      </w:r>
      <w:r>
        <w:rPr>
          <w:rFonts w:hint="eastAsia" w:asciiTheme="minorEastAsia" w:hAnsiTheme="minorEastAsia" w:eastAsiaTheme="minorEastAsia" w:cstheme="minorEastAsia"/>
          <w:color w:val="auto"/>
          <w:kern w:val="0"/>
          <w:szCs w:val="21"/>
        </w:rPr>
        <w:t>，系</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（供应商）的法定代表人。</w:t>
      </w:r>
    </w:p>
    <w:p>
      <w:pPr>
        <w:spacing w:line="360" w:lineRule="auto"/>
        <w:ind w:firstLine="630" w:firstLineChars="300"/>
        <w:rPr>
          <w:rFonts w:asciiTheme="minorEastAsia" w:hAnsiTheme="minorEastAsia" w:eastAsiaTheme="minorEastAsia" w:cstheme="minorEastAsia"/>
          <w:color w:val="auto"/>
          <w:kern w:val="0"/>
          <w:szCs w:val="21"/>
        </w:rPr>
      </w:pP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供应商（盖章）：</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性别：</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年龄：</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身份证号码：</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5985" w:firstLineChars="285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年</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w:t>
      </w:r>
    </w:p>
    <w:p>
      <w:pPr>
        <w:autoSpaceDE w:val="0"/>
        <w:autoSpaceDN w:val="0"/>
        <w:adjustRightInd w:val="0"/>
        <w:spacing w:line="360" w:lineRule="auto"/>
        <w:rPr>
          <w:rFonts w:asciiTheme="minorEastAsia" w:hAnsiTheme="minorEastAsia" w:eastAsiaTheme="minorEastAsia" w:cstheme="minorEastAsia"/>
          <w:color w:val="auto"/>
          <w:kern w:val="0"/>
          <w:szCs w:val="21"/>
        </w:rPr>
      </w:pPr>
    </w:p>
    <w:p>
      <w:pPr>
        <w:autoSpaceDE w:val="0"/>
        <w:autoSpaceDN w:val="0"/>
        <w:adjustRightInd w:val="0"/>
        <w:spacing w:line="360" w:lineRule="auto"/>
        <w:rPr>
          <w:rFonts w:asciiTheme="minorEastAsia" w:hAnsiTheme="minorEastAsia" w:eastAsiaTheme="minorEastAsia" w:cstheme="minorEastAsia"/>
          <w:color w:val="auto"/>
          <w:kern w:val="0"/>
          <w:szCs w:val="21"/>
        </w:rPr>
      </w:pPr>
    </w:p>
    <w:p>
      <w:pPr>
        <w:autoSpaceDE w:val="0"/>
        <w:autoSpaceDN w:val="0"/>
        <w:adjustRightInd w:val="0"/>
        <w:spacing w:line="360" w:lineRule="auto"/>
        <w:rPr>
          <w:rFonts w:asciiTheme="minorEastAsia" w:hAnsiTheme="minorEastAsia" w:eastAsiaTheme="minorEastAsia" w:cstheme="minorEastAsia"/>
          <w:color w:val="auto"/>
          <w:kern w:val="0"/>
          <w:szCs w:val="21"/>
        </w:rPr>
      </w:pP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color w:val="auto"/>
                <w:kern w:val="0"/>
                <w:szCs w:val="21"/>
              </w:rPr>
            </w:pPr>
          </w:p>
          <w:p>
            <w:pPr>
              <w:spacing w:line="360" w:lineRule="auto"/>
              <w:rPr>
                <w:rFonts w:asciiTheme="minorEastAsia" w:hAnsiTheme="minorEastAsia" w:eastAsiaTheme="minorEastAsia" w:cstheme="minorEastAsia"/>
                <w:color w:val="auto"/>
                <w:kern w:val="0"/>
                <w:szCs w:val="21"/>
              </w:rPr>
            </w:pPr>
            <w:r>
              <w:rPr>
                <w:rFonts w:hint="eastAsia"/>
                <w:color w:val="auto"/>
              </w:rPr>
              <w:t>法定代表人身份证正反面（真彩扫描件）：</w:t>
            </w:r>
          </w:p>
        </w:tc>
      </w:tr>
    </w:tbl>
    <w:p>
      <w:pPr>
        <w:spacing w:line="360" w:lineRule="auto"/>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color w:val="auto"/>
          <w:kern w:val="0"/>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bCs/>
          <w:color w:val="auto"/>
          <w:szCs w:val="21"/>
        </w:rPr>
      </w:pPr>
    </w:p>
    <w:p>
      <w:pPr>
        <w:tabs>
          <w:tab w:val="left" w:pos="3969"/>
        </w:tabs>
        <w:spacing w:line="500" w:lineRule="exact"/>
        <w:rPr>
          <w:rFonts w:asciiTheme="minorEastAsia" w:hAnsiTheme="minorEastAsia" w:eastAsiaTheme="minorEastAsia" w:cstheme="minorEastAsia"/>
          <w:color w:val="auto"/>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bookmarkStart w:id="153" w:name="_Toc422466732"/>
      <w:bookmarkStart w:id="154" w:name="_Toc432149006"/>
      <w:r>
        <w:rPr>
          <w:rFonts w:hint="eastAsia" w:asciiTheme="minorEastAsia" w:hAnsiTheme="minorEastAsia" w:eastAsiaTheme="minorEastAsia" w:cstheme="minorEastAsia"/>
          <w:b/>
          <w:bCs/>
          <w:color w:val="auto"/>
          <w:sz w:val="24"/>
        </w:rPr>
        <w:br w:type="page"/>
      </w:r>
      <w:bookmarkStart w:id="155" w:name="_Toc479184128"/>
      <w:bookmarkStart w:id="156" w:name="_Toc4301"/>
      <w:bookmarkStart w:id="157" w:name="_Toc13188"/>
      <w:bookmarkStart w:id="158" w:name="_Toc4741"/>
      <w:r>
        <w:rPr>
          <w:rFonts w:hint="eastAsia" w:asciiTheme="minorEastAsia" w:hAnsiTheme="minorEastAsia" w:eastAsiaTheme="minorEastAsia" w:cstheme="minorEastAsia"/>
          <w:b/>
          <w:bCs/>
          <w:color w:val="auto"/>
          <w:szCs w:val="21"/>
        </w:rPr>
        <w:t>五、报价一览表</w:t>
      </w:r>
      <w:bookmarkEnd w:id="153"/>
      <w:bookmarkEnd w:id="154"/>
      <w:bookmarkEnd w:id="155"/>
      <w:bookmarkEnd w:id="156"/>
      <w:bookmarkEnd w:id="157"/>
      <w:bookmarkEnd w:id="158"/>
    </w:p>
    <w:p>
      <w:pPr>
        <w:adjustRightInd w:val="0"/>
        <w:snapToGrid w:val="0"/>
        <w:ind w:left="-88" w:leftChars="-4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 xml:space="preserve">            </w:t>
      </w:r>
    </w:p>
    <w:p>
      <w:pPr>
        <w:adjustRightInd w:val="0"/>
        <w:snapToGrid w:val="0"/>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single"/>
        </w:rPr>
        <w:t xml:space="preserve">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tbl>
      <w:tblPr>
        <w:tblStyle w:val="28"/>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宋体" w:hAnsi="宋体"/>
                <w:color w:val="auto"/>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single"/>
              </w:rPr>
              <w:t xml:space="preserve">大写：      </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u w:val="single"/>
              </w:rPr>
              <w:t xml:space="preserve">小写：      </w:t>
            </w:r>
            <w:r>
              <w:rPr>
                <w:rFonts w:hint="eastAsia" w:asciiTheme="minorEastAsia" w:hAnsiTheme="minorEastAsia" w:eastAsiaTheme="minorEastAsia" w:cstheme="minorEastAsia"/>
                <w:color w:val="auto"/>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rPr>
              <w:t xml:space="preserve">有；      </w:t>
            </w:r>
            <w:r>
              <w:rPr>
                <w:rFonts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color w:val="auto"/>
              </w:rPr>
            </w:pPr>
            <w:r>
              <w:rPr>
                <w:rFonts w:hint="eastAsia" w:asciiTheme="minorEastAsia" w:hAnsiTheme="minorEastAsia" w:eastAsiaTheme="minorEastAsia" w:cstheme="minorEastAsia"/>
                <w:color w:val="auto"/>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10"/>
              <w:rPr>
                <w:color w:val="auto"/>
              </w:rPr>
            </w:pPr>
            <w:r>
              <w:rPr>
                <w:rFonts w:hint="eastAsia" w:asciiTheme="minorEastAsia" w:hAnsiTheme="minorEastAsia" w:eastAsiaTheme="minorEastAsia" w:cstheme="minorEastAsia"/>
                <w:color w:val="auto"/>
                <w:szCs w:val="21"/>
              </w:rPr>
              <w:t>如有优惠声明，</w:t>
            </w:r>
            <w:r>
              <w:rPr>
                <w:rFonts w:asciiTheme="minorEastAsia" w:hAnsiTheme="minorEastAsia" w:eastAsiaTheme="minorEastAsia" w:cstheme="minorEastAsia"/>
                <w:color w:val="auto"/>
                <w:szCs w:val="21"/>
              </w:rPr>
              <w:t>优惠声明</w:t>
            </w:r>
            <w:r>
              <w:rPr>
                <w:rFonts w:hint="eastAsia" w:asciiTheme="minorEastAsia" w:hAnsiTheme="minorEastAsia" w:eastAsiaTheme="minorEastAsia" w:cstheme="minorEastAsia"/>
                <w:color w:val="auto"/>
                <w:szCs w:val="21"/>
              </w:rPr>
              <w:t>后的价格必须与竞标报价一致。</w:t>
            </w:r>
          </w:p>
        </w:tc>
      </w:tr>
    </w:tbl>
    <w:p>
      <w:pPr>
        <w:spacing w:line="360" w:lineRule="auto"/>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价格应按照“供应商须知” 的要求报价。</w:t>
      </w: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磋商供应商法定代表人（签字）：</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color w:val="auto"/>
          <w:szCs w:val="21"/>
          <w:u w:val="single"/>
        </w:rPr>
      </w:pPr>
      <w:bookmarkStart w:id="159" w:name="_Toc259028723"/>
      <w:bookmarkStart w:id="160" w:name="_Toc460258117"/>
      <w:bookmarkStart w:id="161" w:name="_Toc424832831"/>
      <w:bookmarkStart w:id="162" w:name="_Toc432149007"/>
      <w:r>
        <w:rPr>
          <w:rFonts w:hint="eastAsia" w:asciiTheme="minorEastAsia" w:hAnsiTheme="minorEastAsia" w:eastAsiaTheme="minorEastAsia" w:cstheme="minorEastAsia"/>
          <w:b/>
          <w:bCs/>
          <w:color w:val="auto"/>
          <w:sz w:val="24"/>
        </w:rPr>
        <w:br w:type="page"/>
      </w:r>
      <w:bookmarkStart w:id="163" w:name="_Toc18559"/>
      <w:bookmarkStart w:id="164" w:name="_Toc479184129"/>
      <w:bookmarkStart w:id="165" w:name="_Toc1079"/>
      <w:bookmarkStart w:id="166" w:name="_Toc14694"/>
      <w:r>
        <w:rPr>
          <w:rFonts w:hint="eastAsia" w:asciiTheme="minorEastAsia" w:hAnsiTheme="minorEastAsia" w:eastAsiaTheme="minorEastAsia" w:cstheme="minorEastAsia"/>
          <w:b/>
          <w:bCs/>
          <w:color w:val="auto"/>
          <w:szCs w:val="21"/>
        </w:rPr>
        <w:t>六、</w:t>
      </w:r>
      <w:bookmarkEnd w:id="159"/>
      <w:bookmarkEnd w:id="160"/>
      <w:bookmarkEnd w:id="163"/>
      <w:bookmarkEnd w:id="164"/>
      <w:bookmarkEnd w:id="165"/>
      <w:r>
        <w:rPr>
          <w:rFonts w:hint="eastAsia" w:asciiTheme="minorEastAsia" w:hAnsiTheme="minorEastAsia" w:eastAsiaTheme="minorEastAsia" w:cstheme="minorEastAsia"/>
          <w:b/>
          <w:bCs/>
          <w:color w:val="auto"/>
          <w:szCs w:val="21"/>
        </w:rPr>
        <w:t>报价费用构成表</w:t>
      </w:r>
      <w:bookmarkEnd w:id="166"/>
      <w:r>
        <w:rPr>
          <w:rFonts w:hint="eastAsia" w:asciiTheme="minorEastAsia" w:hAnsiTheme="minorEastAsia" w:eastAsiaTheme="minorEastAsia" w:cstheme="minorEastAsia"/>
          <w:color w:val="auto"/>
          <w:szCs w:val="21"/>
          <w:u w:val="single"/>
        </w:rPr>
        <w:t xml:space="preserve">        </w:t>
      </w:r>
    </w:p>
    <w:p>
      <w:pPr>
        <w:adjustRightInd w:val="0"/>
        <w:snapToGrid w:val="0"/>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single"/>
        </w:rPr>
        <w:t xml:space="preserve">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single"/>
        </w:rPr>
        <w:t xml:space="preserve">                         </w:t>
      </w:r>
    </w:p>
    <w:tbl>
      <w:tblPr>
        <w:tblStyle w:val="28"/>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名称</w:t>
            </w: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产地</w:t>
            </w: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w:t>
            </w: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w:t>
            </w: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875" w:type="dxa"/>
            <w:vAlign w:val="center"/>
          </w:tcPr>
          <w:p>
            <w:pPr>
              <w:adjustRightInd w:val="0"/>
              <w:snapToGrid w:val="0"/>
              <w:jc w:val="center"/>
              <w:rPr>
                <w:rFonts w:asciiTheme="minorEastAsia" w:hAnsiTheme="minorEastAsia" w:eastAsiaTheme="minorEastAsia" w:cstheme="minorEastAsia"/>
                <w:color w:val="auto"/>
                <w:szCs w:val="21"/>
              </w:rPr>
            </w:pPr>
          </w:p>
        </w:tc>
        <w:tc>
          <w:tcPr>
            <w:tcW w:w="1428"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总计</w:t>
            </w: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828" w:type="dxa"/>
            <w:vAlign w:val="center"/>
          </w:tcPr>
          <w:p>
            <w:pPr>
              <w:adjustRightInd w:val="0"/>
              <w:snapToGrid w:val="0"/>
              <w:jc w:val="center"/>
              <w:rPr>
                <w:rFonts w:asciiTheme="minorEastAsia" w:hAnsiTheme="minorEastAsia" w:eastAsiaTheme="minorEastAsia" w:cstheme="minorEastAsia"/>
                <w:color w:val="auto"/>
                <w:szCs w:val="21"/>
              </w:rPr>
            </w:pPr>
          </w:p>
        </w:tc>
        <w:tc>
          <w:tcPr>
            <w:tcW w:w="736" w:type="dxa"/>
            <w:vAlign w:val="center"/>
          </w:tcPr>
          <w:p>
            <w:pPr>
              <w:adjustRightInd w:val="0"/>
              <w:snapToGrid w:val="0"/>
              <w:jc w:val="center"/>
              <w:rPr>
                <w:rFonts w:asciiTheme="minorEastAsia" w:hAnsiTheme="minorEastAsia" w:eastAsiaTheme="minorEastAsia" w:cstheme="minorEastAsia"/>
                <w:color w:val="auto"/>
                <w:szCs w:val="21"/>
              </w:rPr>
            </w:pPr>
          </w:p>
        </w:tc>
        <w:tc>
          <w:tcPr>
            <w:tcW w:w="727" w:type="dxa"/>
            <w:vAlign w:val="center"/>
          </w:tcPr>
          <w:p>
            <w:pPr>
              <w:adjustRightInd w:val="0"/>
              <w:snapToGrid w:val="0"/>
              <w:jc w:val="center"/>
              <w:rPr>
                <w:rFonts w:asciiTheme="minorEastAsia" w:hAnsiTheme="minorEastAsia" w:eastAsiaTheme="minorEastAsia" w:cstheme="minorEastAsia"/>
                <w:color w:val="auto"/>
                <w:szCs w:val="21"/>
              </w:rPr>
            </w:pPr>
          </w:p>
        </w:tc>
        <w:tc>
          <w:tcPr>
            <w:tcW w:w="719" w:type="dxa"/>
            <w:vAlign w:val="center"/>
          </w:tcPr>
          <w:p>
            <w:pPr>
              <w:adjustRightInd w:val="0"/>
              <w:snapToGrid w:val="0"/>
              <w:jc w:val="center"/>
              <w:rPr>
                <w:rFonts w:asciiTheme="minorEastAsia" w:hAnsiTheme="minorEastAsia" w:eastAsiaTheme="minorEastAsia" w:cstheme="minorEastAsia"/>
                <w:color w:val="auto"/>
                <w:szCs w:val="21"/>
              </w:rPr>
            </w:pPr>
          </w:p>
        </w:tc>
      </w:tr>
    </w:tbl>
    <w:p>
      <w:pPr>
        <w:adjustRightInd w:val="0"/>
        <w:snapToGrid w:val="0"/>
        <w:rPr>
          <w:rFonts w:asciiTheme="minorEastAsia" w:hAnsiTheme="minorEastAsia" w:eastAsiaTheme="minorEastAsia" w:cstheme="minorEastAsia"/>
          <w:color w:val="auto"/>
          <w:szCs w:val="21"/>
        </w:rPr>
      </w:pP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pPr>
        <w:numPr>
          <w:ilvl w:val="0"/>
          <w:numId w:val="39"/>
        </w:num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所有价格按照“供应商须知”要求执行。</w:t>
      </w:r>
    </w:p>
    <w:p>
      <w:pPr>
        <w:numPr>
          <w:ilvl w:val="0"/>
          <w:numId w:val="39"/>
        </w:num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分项报价总计价格必须与《报价一览表》报价一致。</w:t>
      </w:r>
    </w:p>
    <w:p>
      <w:pPr>
        <w:numPr>
          <w:ilvl w:val="0"/>
          <w:numId w:val="39"/>
        </w:num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如果不提供详细的报价费用构成可能将被视为没有实质性响应磋商文件。</w:t>
      </w:r>
    </w:p>
    <w:p>
      <w:pPr>
        <w:numPr>
          <w:ilvl w:val="0"/>
          <w:numId w:val="39"/>
        </w:numPr>
        <w:adjustRightInd w:val="0"/>
        <w:snapToGrid w:val="0"/>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针对产地一栏，请供应商熟读《政府采购进口产品管理办法》，如实慎重填写；</w:t>
      </w:r>
      <w:r>
        <w:rPr>
          <w:rFonts w:hint="eastAsia" w:asciiTheme="minorEastAsia" w:hAnsiTheme="minorEastAsia" w:eastAsiaTheme="minorEastAsia" w:cstheme="minorEastAsia"/>
          <w:b/>
          <w:bCs/>
          <w:color w:val="auto"/>
          <w:szCs w:val="21"/>
        </w:rPr>
        <w:br w:type="textWrapping"/>
      </w:r>
      <w:r>
        <w:rPr>
          <w:rFonts w:hint="eastAsia" w:asciiTheme="minorEastAsia" w:hAnsiTheme="minorEastAsia" w:eastAsiaTheme="minorEastAsia" w:cstheme="minorEastAsia"/>
          <w:b/>
          <w:bCs/>
          <w:color w:val="auto"/>
          <w:szCs w:val="21"/>
        </w:rPr>
        <w:t>4.1国产设备请填写“中国”，国内生产的国外品牌请填写“中国”；</w:t>
      </w:r>
      <w:r>
        <w:rPr>
          <w:rFonts w:hint="eastAsia" w:asciiTheme="minorEastAsia" w:hAnsiTheme="minorEastAsia" w:eastAsiaTheme="minorEastAsia" w:cstheme="minorEastAsia"/>
          <w:b/>
          <w:bCs/>
          <w:color w:val="auto"/>
          <w:szCs w:val="21"/>
        </w:rPr>
        <w:br w:type="textWrapping"/>
      </w:r>
      <w:r>
        <w:rPr>
          <w:rFonts w:hint="eastAsia" w:asciiTheme="minorEastAsia" w:hAnsiTheme="minorEastAsia" w:eastAsiaTheme="minorEastAsia" w:cstheme="minorEastAsia"/>
          <w:b/>
          <w:bCs/>
          <w:color w:val="auto"/>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color w:val="auto"/>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磋商供应商法定代表人（签字）：</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spacing w:line="360" w:lineRule="auto"/>
        <w:rPr>
          <w:rFonts w:asciiTheme="minorEastAsia" w:hAnsiTheme="minorEastAsia" w:eastAsiaTheme="minorEastAsia" w:cstheme="minorEastAsia"/>
          <w:color w:val="auto"/>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67" w:name="_Toc479184130"/>
      <w:bookmarkStart w:id="168" w:name="_Toc26825"/>
      <w:bookmarkStart w:id="169" w:name="_Toc24732"/>
      <w:bookmarkStart w:id="170" w:name="_Toc28656"/>
      <w:r>
        <w:rPr>
          <w:rFonts w:hint="eastAsia" w:asciiTheme="minorEastAsia" w:hAnsiTheme="minorEastAsia" w:eastAsiaTheme="minorEastAsia" w:cstheme="minorEastAsia"/>
          <w:b/>
          <w:bCs/>
          <w:color w:val="auto"/>
          <w:szCs w:val="21"/>
        </w:rPr>
        <w:t>七、耗材清单</w:t>
      </w:r>
      <w:bookmarkEnd w:id="167"/>
      <w:bookmarkEnd w:id="168"/>
      <w:bookmarkEnd w:id="169"/>
      <w:bookmarkEnd w:id="170"/>
    </w:p>
    <w:p>
      <w:pPr>
        <w:adjustRightInd w:val="0"/>
        <w:snapToGrid w:val="0"/>
        <w:rPr>
          <w:rFonts w:asciiTheme="minorEastAsia" w:hAnsiTheme="minorEastAsia" w:eastAsiaTheme="minorEastAsia" w:cstheme="minorEastAsia"/>
          <w:b/>
          <w:color w:val="auto"/>
          <w:szCs w:val="21"/>
        </w:rPr>
      </w:pP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295"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耗材名称</w:t>
            </w:r>
          </w:p>
        </w:tc>
        <w:tc>
          <w:tcPr>
            <w:tcW w:w="1512"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规格型号</w:t>
            </w:r>
          </w:p>
        </w:tc>
        <w:tc>
          <w:tcPr>
            <w:tcW w:w="1512"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制造商名称</w:t>
            </w:r>
          </w:p>
        </w:tc>
        <w:tc>
          <w:tcPr>
            <w:tcW w:w="1513"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产地</w:t>
            </w:r>
          </w:p>
        </w:tc>
        <w:tc>
          <w:tcPr>
            <w:tcW w:w="70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数量</w:t>
            </w:r>
          </w:p>
        </w:tc>
        <w:tc>
          <w:tcPr>
            <w:tcW w:w="958"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left"/>
              <w:rPr>
                <w:rFonts w:asciiTheme="minorEastAsia" w:hAnsiTheme="minorEastAsia" w:eastAsiaTheme="minorEastAsia" w:cstheme="minorEastAsia"/>
                <w:color w:val="auto"/>
                <w:kern w:val="0"/>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color w:val="auto"/>
          <w:szCs w:val="21"/>
        </w:rPr>
      </w:pPr>
    </w:p>
    <w:p>
      <w:pPr>
        <w:rPr>
          <w:color w:val="auto"/>
        </w:rPr>
      </w:pPr>
    </w:p>
    <w:p>
      <w:pPr>
        <w:tabs>
          <w:tab w:val="left" w:pos="540"/>
        </w:tabs>
        <w:autoSpaceDE w:val="0"/>
        <w:autoSpaceDN w:val="0"/>
        <w:adjustRightInd w:val="0"/>
        <w:spacing w:line="360" w:lineRule="auto"/>
        <w:jc w:val="left"/>
        <w:rPr>
          <w:rFonts w:asciiTheme="minorEastAsia" w:hAnsiTheme="minorEastAsia" w:eastAsiaTheme="minorEastAsia" w:cstheme="minorEastAsia"/>
          <w:color w:val="auto"/>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71" w:name="_Toc7535"/>
      <w:bookmarkStart w:id="172" w:name="_Toc1043"/>
      <w:bookmarkStart w:id="173" w:name="_Toc32726"/>
      <w:bookmarkStart w:id="174" w:name="_Toc479184131"/>
      <w:r>
        <w:rPr>
          <w:rFonts w:hint="eastAsia" w:asciiTheme="minorEastAsia" w:hAnsiTheme="minorEastAsia" w:eastAsiaTheme="minorEastAsia" w:cstheme="minorEastAsia"/>
          <w:b/>
          <w:bCs/>
          <w:color w:val="auto"/>
          <w:szCs w:val="21"/>
        </w:rPr>
        <w:t>八、拟投入设备/备件、工具情况</w:t>
      </w:r>
      <w:bookmarkEnd w:id="171"/>
      <w:bookmarkEnd w:id="172"/>
      <w:bookmarkEnd w:id="173"/>
      <w:bookmarkEnd w:id="174"/>
    </w:p>
    <w:p>
      <w:pPr>
        <w:spacing w:line="360" w:lineRule="auto"/>
        <w:rPr>
          <w:rFonts w:asciiTheme="minorEastAsia" w:hAnsiTheme="minorEastAsia" w:eastAsiaTheme="minorEastAsia" w:cstheme="minorEastAsia"/>
          <w:color w:val="auto"/>
          <w:szCs w:val="21"/>
        </w:rPr>
      </w:pP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295"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设备</w:t>
            </w:r>
            <w:r>
              <w:rPr>
                <w:rFonts w:hint="eastAsia" w:asciiTheme="minorEastAsia" w:hAnsiTheme="minorEastAsia" w:eastAsiaTheme="minorEastAsia" w:cstheme="minorEastAsia"/>
                <w:b/>
                <w:bCs/>
                <w:color w:val="auto"/>
                <w:szCs w:val="21"/>
              </w:rPr>
              <w:t>/备件</w:t>
            </w:r>
            <w:r>
              <w:rPr>
                <w:rFonts w:hint="eastAsia" w:asciiTheme="minorEastAsia" w:hAnsiTheme="minorEastAsia" w:eastAsiaTheme="minorEastAsia" w:cstheme="minorEastAsia"/>
                <w:b/>
                <w:color w:val="auto"/>
                <w:szCs w:val="21"/>
              </w:rPr>
              <w:t>名称</w:t>
            </w:r>
          </w:p>
        </w:tc>
        <w:tc>
          <w:tcPr>
            <w:tcW w:w="1512"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规格型号</w:t>
            </w:r>
          </w:p>
        </w:tc>
        <w:tc>
          <w:tcPr>
            <w:tcW w:w="1512"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制造商名称</w:t>
            </w:r>
          </w:p>
        </w:tc>
        <w:tc>
          <w:tcPr>
            <w:tcW w:w="1513"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产地</w:t>
            </w:r>
          </w:p>
        </w:tc>
        <w:tc>
          <w:tcPr>
            <w:tcW w:w="70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数量</w:t>
            </w:r>
          </w:p>
        </w:tc>
        <w:tc>
          <w:tcPr>
            <w:tcW w:w="958"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left"/>
              <w:rPr>
                <w:rFonts w:asciiTheme="minorEastAsia" w:hAnsiTheme="minorEastAsia" w:eastAsiaTheme="minorEastAsia" w:cstheme="minorEastAsia"/>
                <w:color w:val="auto"/>
                <w:kern w:val="0"/>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p>
    <w:p>
      <w:pPr>
        <w:rPr>
          <w:color w:val="auto"/>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75" w:name="_Toc479184132"/>
      <w:bookmarkStart w:id="176" w:name="_Toc10449"/>
      <w:bookmarkStart w:id="177" w:name="_Toc27053"/>
      <w:bookmarkStart w:id="178" w:name="_Toc450827818"/>
      <w:bookmarkStart w:id="179" w:name="_Toc17239"/>
      <w:r>
        <w:rPr>
          <w:rFonts w:hint="eastAsia" w:asciiTheme="minorEastAsia" w:hAnsiTheme="minorEastAsia" w:eastAsiaTheme="minorEastAsia" w:cstheme="minorEastAsia"/>
          <w:b/>
          <w:bCs/>
          <w:color w:val="auto"/>
          <w:szCs w:val="21"/>
        </w:rPr>
        <w:t>九、缴纳保证金的银行凭证</w:t>
      </w:r>
      <w:bookmarkEnd w:id="175"/>
      <w:bookmarkEnd w:id="176"/>
      <w:bookmarkEnd w:id="177"/>
      <w:bookmarkEnd w:id="178"/>
      <w:r>
        <w:rPr>
          <w:rFonts w:hint="eastAsia" w:asciiTheme="minorEastAsia" w:hAnsiTheme="minorEastAsia" w:eastAsiaTheme="minorEastAsia" w:cstheme="minorEastAsia"/>
          <w:b/>
          <w:bCs/>
          <w:color w:val="auto"/>
          <w:szCs w:val="21"/>
        </w:rPr>
        <w:t>（如有）</w:t>
      </w:r>
      <w:bookmarkEnd w:id="179"/>
    </w:p>
    <w:p>
      <w:pPr>
        <w:spacing w:line="360" w:lineRule="auto"/>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 xml:space="preserve">         </w:t>
      </w:r>
    </w:p>
    <w:p>
      <w:pPr>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中创恒梦工程咨询有限公司：</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      </w:t>
      </w:r>
      <w:r>
        <w:rPr>
          <w:rFonts w:hint="eastAsia" w:asciiTheme="minorEastAsia" w:hAnsiTheme="minorEastAsia" w:eastAsiaTheme="minorEastAsia" w:cstheme="minorEastAsia"/>
          <w:bCs/>
          <w:color w:val="auto"/>
          <w:szCs w:val="21"/>
          <w:u w:val="single"/>
        </w:rPr>
        <w:t xml:space="preserve">                       (供应商全称)</w:t>
      </w:r>
      <w:r>
        <w:rPr>
          <w:rFonts w:hint="eastAsia" w:asciiTheme="minorEastAsia" w:hAnsiTheme="minorEastAsia" w:eastAsiaTheme="minorEastAsia" w:cstheme="minorEastAsia"/>
          <w:bCs/>
          <w:color w:val="auto"/>
          <w:szCs w:val="21"/>
        </w:rPr>
        <w:t xml:space="preserve"> 参加贵方组织的，采购编号为</w:t>
      </w:r>
      <w:r>
        <w:rPr>
          <w:rFonts w:hint="eastAsia" w:asciiTheme="minorEastAsia" w:hAnsiTheme="minorEastAsia" w:eastAsiaTheme="minorEastAsia" w:cstheme="minorEastAsia"/>
          <w:bCs/>
          <w:color w:val="auto"/>
          <w:szCs w:val="21"/>
          <w:u w:val="single"/>
        </w:rPr>
        <w:t xml:space="preserve">           </w:t>
      </w:r>
      <w:r>
        <w:rPr>
          <w:rFonts w:hint="eastAsia" w:asciiTheme="minorEastAsia" w:hAnsiTheme="minorEastAsia" w:eastAsiaTheme="minorEastAsia" w:cstheme="minorEastAsia"/>
          <w:bCs/>
          <w:color w:val="auto"/>
          <w:szCs w:val="21"/>
        </w:rPr>
        <w:t>的采购活动。</w:t>
      </w:r>
      <w:r>
        <w:rPr>
          <w:rFonts w:hint="eastAsia" w:asciiTheme="minorEastAsia" w:hAnsiTheme="minorEastAsia" w:eastAsiaTheme="minorEastAsia" w:cstheme="minorEastAsia"/>
          <w:color w:val="auto"/>
          <w:szCs w:val="21"/>
        </w:rPr>
        <w:t>按竞争性磋商文件的规定，已递交人民币</w:t>
      </w:r>
      <w:r>
        <w:rPr>
          <w:rFonts w:hint="eastAsia" w:asciiTheme="minorEastAsia" w:hAnsiTheme="minorEastAsia" w:eastAsiaTheme="minorEastAsia" w:cstheme="minorEastAsia"/>
          <w:color w:val="auto"/>
          <w:szCs w:val="21"/>
          <w:u w:val="single"/>
        </w:rPr>
        <w:t xml:space="preserve">（大写）  　　 </w:t>
      </w:r>
      <w:r>
        <w:rPr>
          <w:rFonts w:hint="eastAsia" w:asciiTheme="minorEastAsia" w:hAnsiTheme="minorEastAsia" w:eastAsiaTheme="minorEastAsia" w:cstheme="minorEastAsia"/>
          <w:color w:val="auto"/>
          <w:szCs w:val="21"/>
        </w:rPr>
        <w:t xml:space="preserve"> 元的保证金。</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 应 商 名 称 ：</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供应商开户银行：</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供应商银行账号：</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磋商供应商法定代表人（签字）：</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tbl>
      <w:tblPr>
        <w:tblStyle w:val="28"/>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7" w:hRule="atLeast"/>
        </w:trPr>
        <w:tc>
          <w:tcPr>
            <w:tcW w:w="8820" w:type="dxa"/>
          </w:tcPr>
          <w:p>
            <w:pPr>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粘贴转账或电汇银行凭证（复印件）</w:t>
            </w: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tc>
      </w:tr>
    </w:tbl>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注： 请供应商认真填写银行信息，并要求与粘贴转账或电汇银行凭证的相关信息一致，采购代理机构将依据此凭证信息退还保证金。</w:t>
      </w:r>
    </w:p>
    <w:bookmarkEnd w:id="161"/>
    <w:bookmarkEnd w:id="162"/>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 w:val="24"/>
        </w:rPr>
        <w:br w:type="page"/>
      </w:r>
      <w:bookmarkStart w:id="180" w:name="_Toc27080"/>
      <w:bookmarkStart w:id="181" w:name="_Toc1591"/>
      <w:bookmarkStart w:id="182" w:name="_Toc28200"/>
      <w:bookmarkStart w:id="183" w:name="_Toc422466736"/>
      <w:bookmarkStart w:id="184" w:name="_Toc479184133"/>
      <w:bookmarkStart w:id="185" w:name="_Toc432149012"/>
      <w:r>
        <w:rPr>
          <w:rFonts w:hint="eastAsia" w:asciiTheme="minorEastAsia" w:hAnsiTheme="minorEastAsia" w:eastAsiaTheme="minorEastAsia" w:cstheme="minorEastAsia"/>
          <w:b/>
          <w:bCs/>
          <w:color w:val="auto"/>
          <w:szCs w:val="21"/>
        </w:rPr>
        <w:t>十、偏离说明表</w:t>
      </w:r>
      <w:bookmarkEnd w:id="180"/>
      <w:bookmarkEnd w:id="181"/>
      <w:bookmarkEnd w:id="182"/>
      <w:bookmarkEnd w:id="183"/>
      <w:bookmarkEnd w:id="184"/>
      <w:bookmarkEnd w:id="185"/>
    </w:p>
    <w:p>
      <w:pPr>
        <w:adjustRightInd w:val="0"/>
        <w:snapToGrid w:val="0"/>
        <w:rPr>
          <w:rFonts w:asciiTheme="minorEastAsia" w:hAnsiTheme="minorEastAsia" w:eastAsiaTheme="minorEastAsia" w:cstheme="minorEastAsia"/>
          <w:color w:val="auto"/>
          <w:szCs w:val="21"/>
        </w:rPr>
      </w:pP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bl>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pPr>
        <w:numPr>
          <w:ilvl w:val="7"/>
          <w:numId w:val="40"/>
        </w:numPr>
        <w:tabs>
          <w:tab w:val="left" w:pos="540"/>
        </w:tabs>
        <w:adjustRightInd w:val="0"/>
        <w:snapToGrid w:val="0"/>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0"/>
        </w:numPr>
        <w:tabs>
          <w:tab w:val="left" w:pos="540"/>
        </w:tabs>
        <w:adjustRightInd w:val="0"/>
        <w:snapToGrid w:val="0"/>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color w:val="auto"/>
          <w:szCs w:val="21"/>
        </w:rPr>
      </w:pPr>
    </w:p>
    <w:p>
      <w:pPr>
        <w:adjustRightInd w:val="0"/>
        <w:snapToGrid w:val="0"/>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rPr>
          <w:rFonts w:asciiTheme="minorEastAsia" w:hAnsiTheme="minorEastAsia" w:eastAsiaTheme="minorEastAsia" w:cstheme="minorEastAsia"/>
          <w:b/>
          <w:color w:val="auto"/>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color w:val="auto"/>
          <w:kern w:val="0"/>
          <w:szCs w:val="21"/>
        </w:rPr>
        <w:br w:type="page"/>
      </w:r>
      <w:bookmarkStart w:id="186" w:name="_Toc28283"/>
      <w:bookmarkStart w:id="187" w:name="_Toc32060"/>
      <w:bookmarkStart w:id="188" w:name="_Toc362935521"/>
      <w:bookmarkStart w:id="189" w:name="_Toc479184134"/>
      <w:bookmarkStart w:id="190" w:name="_Toc432149013"/>
      <w:bookmarkStart w:id="191" w:name="_Toc26159"/>
      <w:r>
        <w:rPr>
          <w:rFonts w:hint="eastAsia" w:asciiTheme="minorEastAsia" w:hAnsiTheme="minorEastAsia" w:eastAsiaTheme="minorEastAsia" w:cstheme="minorEastAsia"/>
          <w:b/>
          <w:color w:val="auto"/>
          <w:kern w:val="0"/>
          <w:szCs w:val="21"/>
        </w:rPr>
        <w:t>十一、</w:t>
      </w:r>
      <w:r>
        <w:rPr>
          <w:rFonts w:hint="eastAsia" w:asciiTheme="minorEastAsia" w:hAnsiTheme="minorEastAsia" w:eastAsiaTheme="minorEastAsia" w:cstheme="minorEastAsia"/>
          <w:b/>
          <w:bCs/>
          <w:color w:val="auto"/>
          <w:szCs w:val="21"/>
        </w:rPr>
        <w:t>类似业绩一览表</w:t>
      </w:r>
      <w:bookmarkEnd w:id="186"/>
      <w:bookmarkEnd w:id="187"/>
      <w:bookmarkEnd w:id="188"/>
      <w:bookmarkEnd w:id="189"/>
      <w:bookmarkEnd w:id="190"/>
      <w:r>
        <w:rPr>
          <w:rFonts w:hint="eastAsia" w:asciiTheme="minorEastAsia" w:hAnsiTheme="minorEastAsia" w:eastAsiaTheme="minorEastAsia" w:cstheme="minorEastAsia"/>
          <w:b/>
          <w:bCs/>
          <w:color w:val="auto"/>
          <w:szCs w:val="21"/>
        </w:rPr>
        <w:br w:type="textWrapping"/>
      </w:r>
      <w:bookmarkEnd w:id="191"/>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项目编号：</w:t>
      </w:r>
    </w:p>
    <w:tbl>
      <w:tblPr>
        <w:tblStyle w:val="2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2.公开竞标成交的类似业绩，还应提供成交/中标公告网页链接。</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color w:val="auto"/>
          <w:szCs w:val="21"/>
        </w:rPr>
      </w:pPr>
      <w:bookmarkStart w:id="192" w:name="_Toc454806053"/>
      <w:bookmarkStart w:id="193" w:name="_Toc460258118"/>
      <w:r>
        <w:rPr>
          <w:rFonts w:hint="eastAsia" w:asciiTheme="minorEastAsia" w:hAnsiTheme="minorEastAsia" w:eastAsiaTheme="minorEastAsia" w:cstheme="minorEastAsia"/>
          <w:b/>
          <w:bCs/>
          <w:color w:val="auto"/>
          <w:sz w:val="24"/>
        </w:rPr>
        <w:br w:type="textWrapping"/>
      </w:r>
      <w:r>
        <w:rPr>
          <w:rFonts w:hint="eastAsia" w:asciiTheme="minorEastAsia" w:hAnsiTheme="minorEastAsia" w:eastAsiaTheme="minorEastAsia" w:cstheme="minorEastAsia"/>
          <w:b/>
          <w:bCs/>
          <w:color w:val="auto"/>
          <w:sz w:val="24"/>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 w:val="24"/>
        </w:rPr>
        <w:br w:type="page"/>
      </w:r>
      <w:bookmarkStart w:id="194" w:name="_Toc4834"/>
      <w:bookmarkStart w:id="195" w:name="_Toc479184135"/>
      <w:bookmarkStart w:id="196" w:name="_Toc3191"/>
      <w:bookmarkStart w:id="197" w:name="_Toc30455"/>
      <w:r>
        <w:rPr>
          <w:rFonts w:hint="eastAsia" w:asciiTheme="minorEastAsia" w:hAnsiTheme="minorEastAsia" w:eastAsiaTheme="minorEastAsia" w:cstheme="minorEastAsia"/>
          <w:b/>
          <w:bCs/>
          <w:color w:val="auto"/>
          <w:szCs w:val="21"/>
        </w:rPr>
        <w:t>十二、拟投入项目组人员一览表</w:t>
      </w:r>
      <w:bookmarkEnd w:id="192"/>
      <w:bookmarkEnd w:id="193"/>
      <w:bookmarkEnd w:id="194"/>
      <w:bookmarkEnd w:id="195"/>
      <w:bookmarkEnd w:id="196"/>
      <w:bookmarkEnd w:id="197"/>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8"/>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说明：附拟投入项目组人员身份证、劳动合同、社保证明、</w:t>
      </w:r>
      <w:r>
        <w:rPr>
          <w:rFonts w:hint="eastAsia"/>
          <w:color w:val="auto"/>
        </w:rPr>
        <w:t>职称证书、学历证书</w:t>
      </w:r>
      <w:r>
        <w:rPr>
          <w:rFonts w:hint="eastAsia" w:asciiTheme="minorEastAsia" w:hAnsiTheme="minorEastAsia" w:eastAsiaTheme="minorEastAsia" w:cstheme="minorEastAsia"/>
          <w:color w:val="auto"/>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br w:type="textWrapping"/>
      </w:r>
      <w:r>
        <w:rPr>
          <w:rFonts w:hint="eastAsia" w:asciiTheme="minorEastAsia" w:hAnsiTheme="minorEastAsia" w:eastAsiaTheme="minorEastAsia" w:cstheme="minorEastAsia"/>
          <w:color w:val="auto"/>
          <w:kern w:val="0"/>
          <w:szCs w:val="21"/>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kern w:val="0"/>
          <w:szCs w:val="21"/>
        </w:rPr>
        <w:br w:type="page"/>
      </w:r>
      <w:bookmarkStart w:id="198" w:name="_Toc10429"/>
      <w:bookmarkStart w:id="199" w:name="_Toc479184136"/>
      <w:bookmarkStart w:id="200" w:name="_Toc432149014"/>
      <w:bookmarkStart w:id="201" w:name="_Toc18195"/>
      <w:bookmarkStart w:id="202" w:name="_Toc422466737"/>
      <w:bookmarkStart w:id="203" w:name="_Toc26838"/>
      <w:r>
        <w:rPr>
          <w:rFonts w:hint="eastAsia" w:asciiTheme="minorEastAsia" w:hAnsiTheme="minorEastAsia" w:eastAsiaTheme="minorEastAsia" w:cstheme="minorEastAsia"/>
          <w:b/>
          <w:bCs/>
          <w:color w:val="auto"/>
          <w:kern w:val="0"/>
          <w:szCs w:val="21"/>
        </w:rPr>
        <w:t>十三、</w:t>
      </w:r>
      <w:r>
        <w:rPr>
          <w:rFonts w:hint="eastAsia" w:asciiTheme="minorEastAsia" w:hAnsiTheme="minorEastAsia" w:eastAsiaTheme="minorEastAsia" w:cstheme="minorEastAsia"/>
          <w:b/>
          <w:bCs/>
          <w:color w:val="auto"/>
          <w:szCs w:val="21"/>
        </w:rPr>
        <w:t>供应商的资格声明</w:t>
      </w:r>
      <w:bookmarkEnd w:id="198"/>
      <w:bookmarkEnd w:id="199"/>
      <w:bookmarkEnd w:id="200"/>
      <w:bookmarkEnd w:id="201"/>
      <w:bookmarkEnd w:id="202"/>
      <w:bookmarkEnd w:id="203"/>
    </w:p>
    <w:p>
      <w:pPr>
        <w:rPr>
          <w:rFonts w:asciiTheme="minorEastAsia" w:hAnsiTheme="minorEastAsia" w:eastAsiaTheme="minorEastAsia" w:cstheme="minorEastAsia"/>
          <w:color w:val="auto"/>
          <w:szCs w:val="21"/>
        </w:rPr>
      </w:pP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1.名称及基本情况：</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（1）供应商名称：</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（2）地址：</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邮箱：</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传真：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（3）成立或注册日期：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（4）公司性质：</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（5）法定代表人或主要负责人：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（6）员工人数：</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（7）注册资本：</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（8）实收资本：</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（9）上年末资产负债率：</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1）固定资产</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原值：</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净值：</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2）流动资产：</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3）长期负债：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4）短期负债：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2．与报价服务内容有关的情况：</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（1）供应商提供此响应服务内容的经验（包括年限、项目业主、额定能力、商业运营的起始日期等）；</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（2）服务网点分布（可另行附表）：</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主要服务范围</w:t>
            </w:r>
          </w:p>
        </w:tc>
        <w:tc>
          <w:tcPr>
            <w:tcW w:w="2269"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服务人员数</w:t>
            </w:r>
          </w:p>
        </w:tc>
        <w:tc>
          <w:tcPr>
            <w:tcW w:w="2268"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color w:val="auto"/>
                <w:szCs w:val="21"/>
              </w:rPr>
            </w:pPr>
          </w:p>
        </w:tc>
        <w:tc>
          <w:tcPr>
            <w:tcW w:w="1737" w:type="dxa"/>
            <w:vAlign w:val="center"/>
          </w:tcPr>
          <w:p>
            <w:pPr>
              <w:spacing w:line="360" w:lineRule="auto"/>
              <w:jc w:val="center"/>
              <w:rPr>
                <w:rFonts w:asciiTheme="minorEastAsia" w:hAnsiTheme="minorEastAsia" w:eastAsiaTheme="minorEastAsia" w:cstheme="minorEastAsia"/>
                <w:color w:val="auto"/>
                <w:szCs w:val="21"/>
              </w:rPr>
            </w:pPr>
          </w:p>
        </w:tc>
        <w:tc>
          <w:tcPr>
            <w:tcW w:w="2269" w:type="dxa"/>
            <w:vAlign w:val="center"/>
          </w:tcPr>
          <w:p>
            <w:pPr>
              <w:spacing w:line="360" w:lineRule="auto"/>
              <w:jc w:val="center"/>
              <w:rPr>
                <w:rFonts w:asciiTheme="minorEastAsia" w:hAnsiTheme="minorEastAsia" w:eastAsiaTheme="minorEastAsia" w:cstheme="minorEastAsia"/>
                <w:color w:val="auto"/>
                <w:szCs w:val="21"/>
              </w:rPr>
            </w:pPr>
          </w:p>
        </w:tc>
        <w:tc>
          <w:tcPr>
            <w:tcW w:w="2268" w:type="dxa"/>
            <w:vAlign w:val="center"/>
          </w:tcPr>
          <w:p>
            <w:pPr>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color w:val="auto"/>
                <w:szCs w:val="21"/>
              </w:rPr>
            </w:pPr>
          </w:p>
        </w:tc>
        <w:tc>
          <w:tcPr>
            <w:tcW w:w="1737" w:type="dxa"/>
            <w:vAlign w:val="center"/>
          </w:tcPr>
          <w:p>
            <w:pPr>
              <w:spacing w:line="360" w:lineRule="auto"/>
              <w:jc w:val="center"/>
              <w:rPr>
                <w:rFonts w:asciiTheme="minorEastAsia" w:hAnsiTheme="minorEastAsia" w:eastAsiaTheme="minorEastAsia" w:cstheme="minorEastAsia"/>
                <w:color w:val="auto"/>
                <w:szCs w:val="21"/>
              </w:rPr>
            </w:pPr>
          </w:p>
        </w:tc>
        <w:tc>
          <w:tcPr>
            <w:tcW w:w="2269" w:type="dxa"/>
            <w:vAlign w:val="center"/>
          </w:tcPr>
          <w:p>
            <w:pPr>
              <w:spacing w:line="360" w:lineRule="auto"/>
              <w:jc w:val="center"/>
              <w:rPr>
                <w:rFonts w:asciiTheme="minorEastAsia" w:hAnsiTheme="minorEastAsia" w:eastAsiaTheme="minorEastAsia" w:cstheme="minorEastAsia"/>
                <w:color w:val="auto"/>
                <w:szCs w:val="21"/>
              </w:rPr>
            </w:pPr>
          </w:p>
        </w:tc>
        <w:tc>
          <w:tcPr>
            <w:tcW w:w="2268" w:type="dxa"/>
            <w:vAlign w:val="center"/>
          </w:tcPr>
          <w:p>
            <w:pPr>
              <w:spacing w:line="360" w:lineRule="auto"/>
              <w:jc w:val="center"/>
              <w:rPr>
                <w:rFonts w:asciiTheme="minorEastAsia" w:hAnsiTheme="minorEastAsia" w:eastAsiaTheme="minorEastAsia" w:cstheme="minorEastAsia"/>
                <w:color w:val="auto"/>
                <w:szCs w:val="21"/>
              </w:rPr>
            </w:pPr>
          </w:p>
        </w:tc>
      </w:tr>
    </w:tbl>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3．供应商认为需要声明的其他情况：</w:t>
      </w:r>
    </w:p>
    <w:p>
      <w:pPr>
        <w:ind w:firstLine="210" w:firstLineChars="1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兹证明上述声明是真实的、正确的，并提供了全部能提供的资料和数据，我们同意遵照</w:t>
      </w:r>
      <w:r>
        <w:rPr>
          <w:rFonts w:hint="eastAsia" w:asciiTheme="minorEastAsia" w:hAnsiTheme="minorEastAsia" w:eastAsiaTheme="minorEastAsia" w:cstheme="minorEastAsia"/>
          <w:bCs/>
          <w:color w:val="auto"/>
          <w:szCs w:val="21"/>
          <w:u w:val="single"/>
        </w:rPr>
        <w:t>采购代理机构</w:t>
      </w:r>
      <w:r>
        <w:rPr>
          <w:rFonts w:hint="eastAsia" w:asciiTheme="minorEastAsia" w:hAnsiTheme="minorEastAsia" w:eastAsiaTheme="minorEastAsia" w:cstheme="minorEastAsia"/>
          <w:bCs/>
          <w:color w:val="auto"/>
          <w:szCs w:val="21"/>
        </w:rPr>
        <w:t>要求出示的有关证明文件。</w:t>
      </w:r>
    </w:p>
    <w:p>
      <w:pPr>
        <w:spacing w:line="360" w:lineRule="auto"/>
        <w:ind w:firstLine="210" w:firstLineChars="100"/>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      话：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传      真：</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kern w:val="0"/>
          <w:szCs w:val="21"/>
        </w:rPr>
        <w:br w:type="page"/>
      </w:r>
      <w:bookmarkStart w:id="204" w:name="_Toc20247"/>
      <w:bookmarkStart w:id="205" w:name="_Toc259028731"/>
      <w:bookmarkStart w:id="206" w:name="_Toc17527"/>
      <w:bookmarkStart w:id="207" w:name="_Toc17331"/>
      <w:bookmarkStart w:id="208" w:name="_Toc479184137"/>
      <w:bookmarkStart w:id="209" w:name="_Toc450827823"/>
      <w:r>
        <w:rPr>
          <w:rFonts w:hint="eastAsia" w:asciiTheme="minorEastAsia" w:hAnsiTheme="minorEastAsia" w:eastAsiaTheme="minorEastAsia" w:cstheme="minorEastAsia"/>
          <w:b/>
          <w:bCs/>
          <w:color w:val="auto"/>
          <w:kern w:val="0"/>
          <w:szCs w:val="21"/>
        </w:rPr>
        <w:t>十四、</w:t>
      </w:r>
      <w:r>
        <w:rPr>
          <w:rFonts w:hint="eastAsia" w:asciiTheme="minorEastAsia" w:hAnsiTheme="minorEastAsia" w:eastAsiaTheme="minorEastAsia" w:cstheme="minorEastAsia"/>
          <w:b/>
          <w:bCs/>
          <w:color w:val="auto"/>
          <w:szCs w:val="21"/>
        </w:rPr>
        <w:t>资格证明文件</w:t>
      </w:r>
      <w:bookmarkEnd w:id="204"/>
      <w:bookmarkEnd w:id="205"/>
      <w:bookmarkEnd w:id="206"/>
      <w:bookmarkEnd w:id="207"/>
      <w:bookmarkEnd w:id="208"/>
      <w:bookmarkEnd w:id="209"/>
    </w:p>
    <w:p>
      <w:pPr>
        <w:rPr>
          <w:rFonts w:asciiTheme="minorEastAsia" w:hAnsiTheme="minorEastAsia" w:eastAsiaTheme="minorEastAsia" w:cstheme="minorEastAsia"/>
          <w:color w:val="auto"/>
          <w:szCs w:val="21"/>
        </w:rPr>
      </w:pP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color w:val="auto"/>
          <w:szCs w:val="21"/>
        </w:rPr>
      </w:pPr>
    </w:p>
    <w:p>
      <w:pPr>
        <w:adjustRightInd w:val="0"/>
        <w:snapToGrid w:val="0"/>
        <w:spacing w:line="360" w:lineRule="auto"/>
        <w:ind w:left="-88" w:leftChars="-42"/>
        <w:jc w:val="center"/>
        <w:rPr>
          <w:rFonts w:asciiTheme="minorEastAsia" w:hAnsiTheme="minorEastAsia" w:eastAsiaTheme="minorEastAsia" w:cstheme="minorEastAsia"/>
          <w:color w:val="auto"/>
          <w:szCs w:val="21"/>
        </w:rPr>
      </w:pPr>
    </w:p>
    <w:p>
      <w:pPr>
        <w:spacing w:line="360" w:lineRule="auto"/>
        <w:ind w:left="168" w:leftChars="80"/>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p>
    <w:p>
      <w:pPr>
        <w:spacing w:line="360" w:lineRule="auto"/>
        <w:ind w:left="168" w:leftChars="80"/>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bookmarkStart w:id="210" w:name="_Toc18555"/>
      <w:bookmarkStart w:id="211" w:name="_Toc364868916"/>
      <w:bookmarkStart w:id="212" w:name="_Toc290207179"/>
      <w:bookmarkStart w:id="213" w:name="_Toc5793"/>
      <w:bookmarkStart w:id="214" w:name="_Toc427239751"/>
      <w:bookmarkStart w:id="215" w:name="_Toc358447587"/>
      <w:bookmarkStart w:id="216" w:name="_Toc32187"/>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kern w:val="0"/>
          <w:szCs w:val="21"/>
        </w:rPr>
      </w:pPr>
      <w:bookmarkStart w:id="217" w:name="_Toc3825"/>
      <w:r>
        <w:rPr>
          <w:rFonts w:hint="eastAsia" w:asciiTheme="minorEastAsia" w:hAnsiTheme="minorEastAsia" w:eastAsiaTheme="minorEastAsia" w:cstheme="minorEastAsia"/>
          <w:b/>
          <w:bCs/>
          <w:color w:val="auto"/>
          <w:kern w:val="0"/>
          <w:szCs w:val="21"/>
        </w:rPr>
        <w:t>十五、</w:t>
      </w:r>
      <w:bookmarkEnd w:id="210"/>
      <w:bookmarkEnd w:id="211"/>
      <w:bookmarkEnd w:id="212"/>
      <w:bookmarkEnd w:id="213"/>
      <w:bookmarkEnd w:id="214"/>
      <w:bookmarkEnd w:id="215"/>
      <w:bookmarkEnd w:id="216"/>
      <w:bookmarkStart w:id="218" w:name="_Toc29785"/>
      <w:bookmarkStart w:id="219" w:name="_Toc460258123"/>
      <w:bookmarkStart w:id="220" w:name="_Toc27229"/>
      <w:bookmarkStart w:id="221" w:name="_Toc479184138"/>
      <w:r>
        <w:rPr>
          <w:rFonts w:hint="eastAsia" w:asciiTheme="minorEastAsia" w:hAnsiTheme="minorEastAsia" w:eastAsiaTheme="minorEastAsia" w:cstheme="minorEastAsia"/>
          <w:b/>
          <w:bCs/>
          <w:color w:val="auto"/>
          <w:kern w:val="0"/>
          <w:szCs w:val="21"/>
        </w:rPr>
        <w:t>报价技术文件</w:t>
      </w:r>
      <w:bookmarkEnd w:id="217"/>
      <w:bookmarkEnd w:id="218"/>
      <w:bookmarkEnd w:id="219"/>
      <w:bookmarkEnd w:id="220"/>
      <w:bookmarkEnd w:id="221"/>
    </w:p>
    <w:p>
      <w:pPr>
        <w:rPr>
          <w:rFonts w:asciiTheme="minorEastAsia" w:hAnsiTheme="minorEastAsia" w:eastAsiaTheme="minorEastAsia" w:cstheme="minorEastAsia"/>
          <w:color w:val="auto"/>
          <w:szCs w:val="21"/>
        </w:rPr>
      </w:pPr>
    </w:p>
    <w:p>
      <w:pPr>
        <w:pStyle w:val="106"/>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以下内容仅供参考，格式自拟。</w:t>
      </w:r>
    </w:p>
    <w:p>
      <w:pPr>
        <w:numPr>
          <w:ilvl w:val="1"/>
          <w:numId w:val="41"/>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项目概况及对本项目总体要求的理解</w:t>
      </w:r>
    </w:p>
    <w:p>
      <w:pPr>
        <w:numPr>
          <w:ilvl w:val="1"/>
          <w:numId w:val="41"/>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项目实施方案</w:t>
      </w:r>
    </w:p>
    <w:p>
      <w:pPr>
        <w:numPr>
          <w:ilvl w:val="1"/>
          <w:numId w:val="41"/>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项目重点及难点解析</w:t>
      </w:r>
    </w:p>
    <w:p>
      <w:pPr>
        <w:numPr>
          <w:ilvl w:val="1"/>
          <w:numId w:val="41"/>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质量控制措施</w:t>
      </w:r>
    </w:p>
    <w:p>
      <w:pPr>
        <w:numPr>
          <w:ilvl w:val="1"/>
          <w:numId w:val="41"/>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进度控制措施</w:t>
      </w:r>
    </w:p>
    <w:p>
      <w:pPr>
        <w:numPr>
          <w:ilvl w:val="1"/>
          <w:numId w:val="41"/>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val="0"/>
          <w:color w:val="auto"/>
        </w:rPr>
      </w:pPr>
      <w:r>
        <w:rPr>
          <w:rFonts w:hint="eastAsia" w:asciiTheme="minorEastAsia" w:hAnsiTheme="minorEastAsia" w:eastAsiaTheme="minorEastAsia" w:cstheme="minorEastAsia"/>
          <w:color w:val="auto"/>
        </w:rPr>
        <w:br w:type="page"/>
      </w:r>
      <w:bookmarkStart w:id="222" w:name="_Toc2101"/>
      <w:bookmarkStart w:id="223" w:name="_Toc479184140"/>
      <w:bookmarkStart w:id="224" w:name="_Toc8098"/>
      <w:bookmarkStart w:id="225" w:name="_Toc356836516"/>
      <w:bookmarkStart w:id="226" w:name="_Toc422466739"/>
      <w:bookmarkStart w:id="227" w:name="_Toc22465"/>
      <w:bookmarkStart w:id="228" w:name="_Toc355802499"/>
      <w:bookmarkStart w:id="229" w:name="_Toc432149016"/>
      <w:bookmarkStart w:id="230" w:name="_Toc12119"/>
      <w:bookmarkStart w:id="231" w:name="_Toc2404"/>
      <w:r>
        <w:rPr>
          <w:rFonts w:hint="eastAsia" w:asciiTheme="minorEastAsia" w:hAnsiTheme="minorEastAsia" w:eastAsiaTheme="minorEastAsia" w:cstheme="minorEastAsia"/>
          <w:b/>
          <w:color w:val="auto"/>
        </w:rPr>
        <w:t>十六、</w:t>
      </w:r>
      <w:bookmarkEnd w:id="222"/>
      <w:bookmarkEnd w:id="223"/>
      <w:bookmarkEnd w:id="224"/>
      <w:bookmarkEnd w:id="225"/>
      <w:bookmarkEnd w:id="226"/>
      <w:bookmarkEnd w:id="227"/>
      <w:bookmarkEnd w:id="228"/>
      <w:bookmarkEnd w:id="229"/>
      <w:bookmarkEnd w:id="230"/>
      <w:r>
        <w:rPr>
          <w:rFonts w:hint="eastAsia" w:asciiTheme="minorEastAsia" w:hAnsiTheme="minorEastAsia" w:eastAsiaTheme="minorEastAsia" w:cstheme="minorEastAsia"/>
          <w:b/>
          <w:color w:val="auto"/>
          <w:lang w:val="zh-CN"/>
        </w:rPr>
        <w:t>中小企业声明函（</w:t>
      </w:r>
      <w:r>
        <w:rPr>
          <w:rFonts w:hint="eastAsia" w:asciiTheme="minorEastAsia" w:hAnsiTheme="minorEastAsia" w:eastAsiaTheme="minorEastAsia" w:cstheme="minorEastAsia"/>
          <w:b/>
          <w:color w:val="auto"/>
        </w:rPr>
        <w:t>货物</w:t>
      </w:r>
      <w:r>
        <w:rPr>
          <w:rFonts w:hint="eastAsia" w:asciiTheme="minorEastAsia" w:hAnsiTheme="minorEastAsia" w:eastAsiaTheme="minorEastAsia" w:cstheme="minorEastAsia"/>
          <w:b/>
          <w:color w:val="auto"/>
          <w:lang w:val="zh-CN"/>
        </w:rPr>
        <w:t>）</w:t>
      </w:r>
      <w:r>
        <w:rPr>
          <w:rFonts w:hint="eastAsia" w:asciiTheme="minorEastAsia" w:hAnsiTheme="minorEastAsia" w:eastAsiaTheme="minorEastAsia" w:cstheme="minorEastAsia"/>
          <w:b/>
          <w:bCs w:val="0"/>
          <w:color w:val="auto"/>
          <w:lang w:val="zh-CN"/>
        </w:rPr>
        <w:t>（以下</w:t>
      </w:r>
      <w:r>
        <w:rPr>
          <w:rFonts w:hint="eastAsia" w:asciiTheme="minorEastAsia" w:hAnsiTheme="minorEastAsia" w:eastAsiaTheme="minorEastAsia" w:cstheme="minorEastAsia"/>
          <w:b/>
          <w:bCs w:val="0"/>
          <w:color w:val="auto"/>
          <w:lang w:val="en-US" w:eastAsia="zh-CN"/>
        </w:rPr>
        <w:t>1-9项内容</w:t>
      </w:r>
      <w:r>
        <w:rPr>
          <w:rFonts w:hint="eastAsia" w:asciiTheme="minorEastAsia" w:hAnsiTheme="minorEastAsia" w:eastAsiaTheme="minorEastAsia" w:cstheme="minorEastAsia"/>
          <w:b/>
          <w:bCs w:val="0"/>
          <w:color w:val="auto"/>
          <w:lang w:val="zh-CN"/>
        </w:rPr>
        <w:t>必须提供，否则作废标处理）</w:t>
      </w:r>
      <w:bookmarkEnd w:id="231"/>
    </w:p>
    <w:p>
      <w:pPr>
        <w:spacing w:line="360" w:lineRule="auto"/>
        <w:ind w:firstLine="420" w:firstLineChars="200"/>
        <w:jc w:val="center"/>
        <w:rPr>
          <w:rFonts w:ascii="宋体" w:hAnsi="宋体" w:cs="宋体"/>
          <w:color w:val="auto"/>
          <w:szCs w:val="21"/>
        </w:rPr>
      </w:pPr>
      <w:r>
        <w:rPr>
          <w:rFonts w:ascii="宋体" w:hAnsi="宋体" w:cs="宋体"/>
          <w:color w:val="auto"/>
          <w:szCs w:val="21"/>
        </w:rPr>
        <w:t>中小企业声明函（</w:t>
      </w:r>
      <w:r>
        <w:rPr>
          <w:rFonts w:hint="eastAsia" w:ascii="宋体" w:hAnsi="宋体" w:cs="宋体"/>
          <w:color w:val="auto"/>
          <w:szCs w:val="21"/>
        </w:rPr>
        <w:t>货物</w:t>
      </w:r>
      <w:r>
        <w:rPr>
          <w:rFonts w:ascii="宋体" w:hAnsi="宋体" w:cs="宋体"/>
          <w:color w:val="auto"/>
          <w:szCs w:val="21"/>
        </w:rPr>
        <w:t>）</w:t>
      </w:r>
    </w:p>
    <w:p>
      <w:pPr>
        <w:spacing w:line="360" w:lineRule="auto"/>
        <w:ind w:firstLine="420" w:firstLineChars="200"/>
        <w:rPr>
          <w:rFonts w:ascii="宋体" w:hAnsi="宋体" w:cs="宋体"/>
          <w:color w:val="auto"/>
          <w:szCs w:val="21"/>
        </w:rPr>
      </w:pPr>
      <w:r>
        <w:rPr>
          <w:rFonts w:ascii="宋体" w:hAnsi="宋体" w:cs="宋体"/>
          <w:color w:val="auto"/>
          <w:szCs w:val="21"/>
        </w:rPr>
        <w:t>本公司（联合体）郑重声明，根据《政府采购促进中小企业发展管理办法》（财库﹝2020﹞</w:t>
      </w:r>
      <w:r>
        <w:rPr>
          <w:rFonts w:hint="eastAsia" w:ascii="宋体" w:hAnsi="宋体" w:cs="宋体"/>
          <w:color w:val="auto"/>
          <w:szCs w:val="21"/>
        </w:rPr>
        <w:t>46</w:t>
      </w:r>
      <w:r>
        <w:rPr>
          <w:rFonts w:ascii="宋体" w:hAnsi="宋体" w:cs="宋体"/>
          <w:color w:val="auto"/>
          <w:szCs w:val="21"/>
        </w:rPr>
        <w:t>号）的规定，本公司 （联合体）参加</w:t>
      </w:r>
      <w:r>
        <w:rPr>
          <w:rFonts w:hint="eastAsia" w:ascii="宋体" w:hAnsi="宋体" w:cs="宋体"/>
          <w:color w:val="auto"/>
          <w:szCs w:val="21"/>
          <w:u w:val="single"/>
        </w:rPr>
        <w:t xml:space="preserve">          </w:t>
      </w:r>
      <w:r>
        <w:rPr>
          <w:rFonts w:ascii="宋体" w:hAnsi="宋体" w:cs="宋体"/>
          <w:color w:val="auto"/>
          <w:szCs w:val="21"/>
          <w:u w:val="single"/>
        </w:rPr>
        <w:t>（单位名称）</w:t>
      </w:r>
      <w:r>
        <w:rPr>
          <w:rFonts w:ascii="宋体" w:hAnsi="宋体" w:cs="宋体"/>
          <w:color w:val="auto"/>
          <w:szCs w:val="21"/>
        </w:rPr>
        <w:t>的</w:t>
      </w:r>
      <w:r>
        <w:rPr>
          <w:rFonts w:hint="eastAsia" w:ascii="宋体" w:hAnsi="宋体" w:cs="宋体"/>
          <w:color w:val="auto"/>
          <w:szCs w:val="21"/>
          <w:u w:val="single"/>
        </w:rPr>
        <w:t xml:space="preserve">          </w:t>
      </w:r>
      <w:r>
        <w:rPr>
          <w:rFonts w:ascii="宋体" w:hAnsi="宋体" w:cs="宋体"/>
          <w:color w:val="auto"/>
          <w:szCs w:val="21"/>
          <w:u w:val="single"/>
        </w:rPr>
        <w:t>（项目名称）</w:t>
      </w:r>
      <w:r>
        <w:rPr>
          <w:rFonts w:ascii="宋体" w:hAnsi="宋体" w:cs="宋体"/>
          <w:color w:val="auto"/>
          <w:szCs w:val="21"/>
        </w:rPr>
        <w:t xml:space="preserve">采购活动，提供的货物全部由符合政策要求的中小企业制造。相关企业（含联合体中的中小企业、签订分包意向协议的中小企业） 的具体情况如下：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1.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网络时钟</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2.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UPS电源</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3</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网络机柜</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4</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屏蔽终端</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5</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无线信号侦测器（含配件）</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6</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作弊防控系统管理平台</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7</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网络智能开关</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8</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手机信号屏蔽终端</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hint="eastAsia" w:ascii="宋体" w:hAnsi="宋体" w:cs="宋体"/>
          <w:color w:val="auto"/>
          <w:szCs w:val="21"/>
          <w:lang w:val="en-US" w:eastAsia="zh-CN"/>
        </w:rPr>
        <w:t>9</w:t>
      </w:r>
      <w:r>
        <w:rPr>
          <w:rFonts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考务指挥中心对接服务</w:t>
      </w:r>
      <w:r>
        <w:rPr>
          <w:rFonts w:hint="eastAsia" w:ascii="宋体" w:hAnsi="宋体" w:cs="宋体"/>
          <w:color w:val="auto"/>
          <w:szCs w:val="21"/>
          <w:u w:val="single"/>
          <w:lang w:val="en-US" w:eastAsia="zh-CN"/>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工业</w:t>
      </w:r>
      <w:r>
        <w:rPr>
          <w:rFonts w:hint="eastAsia" w:ascii="宋体" w:hAnsi="宋体" w:cs="宋体"/>
          <w:color w:val="auto"/>
          <w:szCs w:val="21"/>
          <w:u w:val="single"/>
          <w:lang w:val="en-US" w:eastAsia="zh-CN"/>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 </w:t>
      </w:r>
    </w:p>
    <w:p>
      <w:pPr>
        <w:spacing w:line="360" w:lineRule="auto"/>
        <w:rPr>
          <w:rFonts w:ascii="宋体" w:hAnsi="宋体" w:cs="宋体"/>
          <w:color w:val="auto"/>
          <w:szCs w:val="21"/>
        </w:rPr>
      </w:pPr>
      <w:r>
        <w:rPr>
          <w:rFonts w:hint="eastAsia" w:ascii="宋体" w:hAnsi="宋体" w:cs="宋体"/>
          <w:color w:val="auto"/>
          <w:szCs w:val="21"/>
        </w:rPr>
        <w:t xml:space="preserve"> </w:t>
      </w:r>
      <w:r>
        <w:rPr>
          <w:rFonts w:ascii="宋体" w:hAnsi="宋体" w:cs="宋体"/>
          <w:color w:val="auto"/>
          <w:szCs w:val="21"/>
        </w:rPr>
        <w:t xml:space="preserve">…… </w:t>
      </w:r>
      <w:r>
        <w:rPr>
          <w:rFonts w:ascii="宋体" w:hAnsi="宋体" w:cs="宋体"/>
          <w:color w:val="auto"/>
          <w:szCs w:val="21"/>
        </w:rPr>
        <w:br w:type="textWrapping"/>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以上企业，不属于大企业的分支机构，不存在控股股东为大企业的情形，也不存在与大企业的负责人为同一人的情形。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本企业对上述声明内容的真实性负责。如有虚假，将依法承担相应责任。 </w:t>
      </w:r>
    </w:p>
    <w:p>
      <w:pPr>
        <w:spacing w:line="360" w:lineRule="auto"/>
        <w:ind w:firstLine="6930" w:firstLineChars="3300"/>
        <w:rPr>
          <w:rFonts w:ascii="宋体" w:hAnsi="宋体" w:cs="宋体"/>
          <w:color w:val="auto"/>
          <w:szCs w:val="21"/>
        </w:rPr>
      </w:pPr>
      <w:r>
        <w:rPr>
          <w:rFonts w:ascii="宋体" w:hAnsi="宋体" w:cs="宋体"/>
          <w:color w:val="auto"/>
          <w:szCs w:val="21"/>
        </w:rPr>
        <w:t xml:space="preserve">企业名称（盖章）： </w:t>
      </w:r>
    </w:p>
    <w:p>
      <w:pPr>
        <w:spacing w:line="360" w:lineRule="auto"/>
        <w:ind w:firstLine="420" w:firstLineChars="200"/>
        <w:jc w:val="center"/>
        <w:rPr>
          <w:rFonts w:ascii="宋体" w:hAnsi="宋体" w:cs="宋体"/>
          <w:color w:val="auto"/>
          <w:szCs w:val="21"/>
        </w:rPr>
      </w:pPr>
      <w:r>
        <w:rPr>
          <w:rFonts w:hint="eastAsia" w:ascii="宋体" w:hAnsi="宋体" w:cs="宋体"/>
          <w:color w:val="auto"/>
          <w:szCs w:val="21"/>
        </w:rPr>
        <w:t xml:space="preserve">                                                </w:t>
      </w:r>
      <w:r>
        <w:rPr>
          <w:rFonts w:ascii="宋体" w:hAnsi="宋体" w:cs="宋体"/>
          <w:color w:val="auto"/>
          <w:szCs w:val="21"/>
        </w:rPr>
        <w:t>日 期：</w:t>
      </w:r>
    </w:p>
    <w:p>
      <w:pPr>
        <w:spacing w:line="360" w:lineRule="auto"/>
        <w:rPr>
          <w:rFonts w:ascii="宋体" w:hAnsi="宋体" w:cs="宋体"/>
          <w:color w:val="auto"/>
          <w:szCs w:val="21"/>
        </w:rPr>
      </w:pPr>
    </w:p>
    <w:p>
      <w:pPr>
        <w:spacing w:line="360" w:lineRule="auto"/>
        <w:rPr>
          <w:rFonts w:ascii="宋体" w:hAnsi="宋体" w:cs="宋体"/>
          <w:color w:val="auto"/>
          <w:szCs w:val="21"/>
        </w:rPr>
      </w:pPr>
    </w:p>
    <w:p>
      <w:pPr>
        <w:spacing w:line="360" w:lineRule="auto"/>
        <w:rPr>
          <w:rFonts w:ascii="宋体" w:hAnsi="宋体" w:cs="宋体"/>
          <w:color w:val="auto"/>
          <w:szCs w:val="21"/>
        </w:rPr>
      </w:pPr>
    </w:p>
    <w:p>
      <w:pPr>
        <w:spacing w:line="360" w:lineRule="auto"/>
        <w:rPr>
          <w:rFonts w:ascii="宋体" w:hAnsi="宋体" w:cs="宋体"/>
          <w:color w:val="auto"/>
          <w:szCs w:val="21"/>
        </w:rPr>
      </w:pPr>
    </w:p>
    <w:p>
      <w:pPr>
        <w:spacing w:line="360" w:lineRule="auto"/>
        <w:ind w:firstLine="420" w:firstLineChars="200"/>
        <w:rPr>
          <w:color w:val="auto"/>
        </w:rPr>
      </w:pPr>
      <w:r>
        <w:rPr>
          <w:rFonts w:ascii="宋体" w:hAnsi="宋体" w:cs="宋体"/>
          <w:color w:val="auto"/>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 xml:space="preserve"> </w:t>
      </w:r>
    </w:p>
    <w:p>
      <w:pPr>
        <w:spacing w:line="360" w:lineRule="auto"/>
        <w:ind w:firstLine="44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rPr>
        <w:br w:type="textWrapping"/>
      </w:r>
    </w:p>
    <w:bookmarkEnd w:id="132"/>
    <w:bookmarkEnd w:id="133"/>
    <w:bookmarkEnd w:id="134"/>
    <w:bookmarkEnd w:id="135"/>
    <w:p>
      <w:pPr>
        <w:bidi w:val="0"/>
        <w:rPr>
          <w:rFonts w:hint="eastAsia"/>
        </w:rPr>
      </w:pPr>
      <w:bookmarkStart w:id="232" w:name="_Toc26357"/>
      <w:bookmarkStart w:id="233" w:name="_Toc7229"/>
      <w:bookmarkStart w:id="234" w:name="_Toc479184141"/>
      <w:bookmarkStart w:id="235" w:name="_Toc4320"/>
      <w:bookmarkStart w:id="236" w:name="_Toc30406"/>
      <w:bookmarkStart w:id="237" w:name="_Toc476839034"/>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adjustRightInd w:val="0"/>
        <w:snapToGrid w:val="0"/>
        <w:jc w:val="center"/>
        <w:outlineLvl w:val="1"/>
        <w:rPr>
          <w:rFonts w:asciiTheme="minorEastAsia" w:hAnsiTheme="minorEastAsia" w:eastAsiaTheme="minorEastAsia" w:cstheme="minorEastAsia"/>
          <w:b/>
          <w:color w:val="auto"/>
        </w:rPr>
      </w:pPr>
      <w:r>
        <w:rPr>
          <w:rFonts w:hint="eastAsia" w:asciiTheme="minorEastAsia" w:hAnsiTheme="minorEastAsia" w:eastAsiaTheme="minorEastAsia" w:cstheme="minorEastAsia"/>
          <w:b/>
          <w:bCs/>
          <w:color w:val="auto"/>
          <w:spacing w:val="6"/>
          <w:szCs w:val="21"/>
        </w:rPr>
        <w:t>十七、</w:t>
      </w:r>
      <w:r>
        <w:rPr>
          <w:rFonts w:hint="eastAsia" w:asciiTheme="minorEastAsia" w:hAnsiTheme="minorEastAsia" w:eastAsiaTheme="minorEastAsia" w:cstheme="minorEastAsia"/>
          <w:b/>
          <w:bCs/>
          <w:color w:val="auto"/>
          <w:lang w:val="zh-CN"/>
        </w:rPr>
        <w:t>监狱企业证</w:t>
      </w:r>
      <w:r>
        <w:rPr>
          <w:rFonts w:hint="eastAsia" w:asciiTheme="minorEastAsia" w:hAnsiTheme="minorEastAsia" w:eastAsiaTheme="minorEastAsia" w:cstheme="minorEastAsia"/>
          <w:b/>
          <w:color w:val="auto"/>
          <w:lang w:val="zh-CN"/>
        </w:rPr>
        <w:t>明文</w:t>
      </w:r>
      <w:r>
        <w:rPr>
          <w:rFonts w:hint="eastAsia" w:asciiTheme="minorEastAsia" w:hAnsiTheme="minorEastAsia" w:eastAsiaTheme="minorEastAsia" w:cstheme="minorEastAsia"/>
          <w:b/>
          <w:color w:val="auto"/>
        </w:rPr>
        <w:t>件</w:t>
      </w:r>
      <w:r>
        <w:rPr>
          <w:rFonts w:hint="eastAsia" w:asciiTheme="minorEastAsia" w:hAnsiTheme="minorEastAsia" w:eastAsiaTheme="minorEastAsia" w:cstheme="minorEastAsia"/>
          <w:b/>
          <w:color w:val="auto"/>
          <w:lang w:val="zh-CN"/>
        </w:rPr>
        <w:t>（若</w:t>
      </w:r>
      <w:r>
        <w:rPr>
          <w:rFonts w:hint="eastAsia" w:asciiTheme="minorEastAsia" w:hAnsiTheme="minorEastAsia" w:eastAsiaTheme="minorEastAsia" w:cstheme="minorEastAsia"/>
          <w:b/>
          <w:color w:val="auto"/>
        </w:rPr>
        <w:t>符合</w:t>
      </w:r>
      <w:r>
        <w:rPr>
          <w:rFonts w:hint="eastAsia" w:asciiTheme="minorEastAsia" w:hAnsiTheme="minorEastAsia" w:eastAsiaTheme="minorEastAsia" w:cstheme="minorEastAsia"/>
          <w:b/>
          <w:color w:val="auto"/>
          <w:lang w:val="zh-CN"/>
        </w:rPr>
        <w:t>）</w:t>
      </w:r>
      <w:bookmarkEnd w:id="232"/>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pacing w:val="6"/>
          <w:szCs w:val="21"/>
        </w:rPr>
        <w:t>供应商如是监狱企业，提供相关证明文件。</w:t>
      </w: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rPr>
          <w:color w:val="auto"/>
        </w:rPr>
      </w:pPr>
    </w:p>
    <w:p>
      <w:pPr>
        <w:adjustRightInd w:val="0"/>
        <w:snapToGrid w:val="0"/>
        <w:jc w:val="center"/>
        <w:outlineLvl w:val="1"/>
        <w:rPr>
          <w:rFonts w:asciiTheme="minorEastAsia" w:hAnsiTheme="minorEastAsia" w:eastAsiaTheme="minorEastAsia" w:cstheme="minorEastAsia"/>
          <w:b/>
          <w:color w:val="auto"/>
          <w:lang w:val="zh-CN"/>
        </w:rPr>
      </w:pPr>
      <w:bookmarkStart w:id="238" w:name="_Toc14005"/>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b/>
          <w:color w:val="auto"/>
        </w:rPr>
        <w:t>十八、</w:t>
      </w:r>
      <w:r>
        <w:rPr>
          <w:rFonts w:hint="eastAsia" w:asciiTheme="minorEastAsia" w:hAnsiTheme="minorEastAsia" w:eastAsiaTheme="minorEastAsia" w:cstheme="minorEastAsia"/>
          <w:b/>
          <w:color w:val="auto"/>
          <w:lang w:val="zh-CN"/>
        </w:rPr>
        <w:t>残疾人福利性单位声明函（若</w:t>
      </w:r>
      <w:r>
        <w:rPr>
          <w:rFonts w:hint="eastAsia" w:asciiTheme="minorEastAsia" w:hAnsiTheme="minorEastAsia" w:eastAsiaTheme="minorEastAsia" w:cstheme="minorEastAsia"/>
          <w:b/>
          <w:color w:val="auto"/>
        </w:rPr>
        <w:t>符合</w:t>
      </w:r>
      <w:r>
        <w:rPr>
          <w:rFonts w:hint="eastAsia" w:asciiTheme="minorEastAsia" w:hAnsiTheme="minorEastAsia" w:eastAsiaTheme="minorEastAsia" w:cstheme="minorEastAsia"/>
          <w:b/>
          <w:color w:val="auto"/>
          <w:lang w:val="zh-CN"/>
        </w:rPr>
        <w:t>）</w:t>
      </w:r>
      <w:bookmarkEnd w:id="238"/>
    </w:p>
    <w:p>
      <w:pPr>
        <w:pStyle w:val="16"/>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6"/>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本单位对上述声明的真实性负责。如有虚假，将依法承担相应责任。</w:t>
      </w:r>
    </w:p>
    <w:p>
      <w:pPr>
        <w:pStyle w:val="16"/>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6"/>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6"/>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制造商（</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制造商法定代表人（签字）：</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磋商供应商名称（</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 xml:space="preserve">）：                                     </w:t>
      </w:r>
    </w:p>
    <w:p>
      <w:p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时                 间：           年          月          日</w:t>
      </w:r>
      <w:r>
        <w:rPr>
          <w:rFonts w:hint="eastAsia" w:asciiTheme="minorEastAsia" w:hAnsiTheme="minorEastAsia" w:eastAsiaTheme="minorEastAsia" w:cstheme="minorEastAsia"/>
          <w:color w:val="auto"/>
          <w:szCs w:val="21"/>
          <w:lang w:val="zh-CN"/>
        </w:rPr>
        <w:br w:type="textWrapping"/>
      </w:r>
      <w:r>
        <w:rPr>
          <w:rFonts w:hint="eastAsia" w:asciiTheme="minorEastAsia" w:hAnsiTheme="minorEastAsia" w:eastAsiaTheme="minorEastAsia" w:cstheme="minorEastAsia"/>
          <w:color w:val="auto"/>
          <w:szCs w:val="21"/>
          <w:lang w:val="zh-CN"/>
        </w:rPr>
        <w:t>备注：享受政府采购支持政策的残疾人福利性单位应当同时满足以下条件：</w:t>
      </w:r>
    </w:p>
    <w:p>
      <w:pPr>
        <w:numPr>
          <w:ilvl w:val="0"/>
          <w:numId w:val="42"/>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安置的残疾人占本单位在职职工人数的比例不低于 25%（含 25%），并且安置的残疾人人数不少于 10 人（含 10 人）；</w:t>
      </w:r>
    </w:p>
    <w:p>
      <w:pPr>
        <w:numPr>
          <w:ilvl w:val="0"/>
          <w:numId w:val="42"/>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依法与安置的每位残疾人签订了一年以上（含一年）的劳动合同或服务协议；</w:t>
      </w:r>
    </w:p>
    <w:p>
      <w:pPr>
        <w:numPr>
          <w:ilvl w:val="0"/>
          <w:numId w:val="42"/>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为安置的每位残疾人按月足额缴纳了基本养老保险、基本医疗保险、失业保险、工伤保险和生育保险等社会保险费；</w:t>
      </w:r>
    </w:p>
    <w:p>
      <w:pPr>
        <w:numPr>
          <w:ilvl w:val="0"/>
          <w:numId w:val="42"/>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通过银行等金融机构向安置的每位残疾人，按月支付了不低于单位所在区县适用的经省级人民政府批准的月最低工资标准的工资；</w:t>
      </w:r>
    </w:p>
    <w:p>
      <w:pPr>
        <w:numPr>
          <w:ilvl w:val="0"/>
          <w:numId w:val="42"/>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color w:val="auto"/>
          <w:szCs w:val="21"/>
          <w:u w:val="single"/>
        </w:rPr>
      </w:pPr>
      <w:bookmarkStart w:id="239" w:name="_Toc24717"/>
      <w:r>
        <w:rPr>
          <w:rFonts w:hint="eastAsia" w:asciiTheme="minorEastAsia" w:hAnsiTheme="minorEastAsia" w:eastAsiaTheme="minorEastAsia" w:cstheme="minorEastAsia"/>
          <w:b/>
          <w:color w:val="auto"/>
        </w:rPr>
        <w:t>十九、节能环保产品证明材料（若符合）</w:t>
      </w:r>
      <w:bookmarkEnd w:id="239"/>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spacing w:before="100" w:beforeAutospacing="1" w:after="100" w:afterAutospacing="1"/>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（1）节能产品：</w:t>
      </w:r>
    </w:p>
    <w:tbl>
      <w:tblPr>
        <w:tblStyle w:val="28"/>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bl>
    <w:p>
      <w:pPr>
        <w:spacing w:before="100" w:beforeAutospacing="1" w:after="100" w:afterAutospacing="1"/>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（2）环保产品：</w:t>
      </w:r>
    </w:p>
    <w:tbl>
      <w:tblPr>
        <w:tblStyle w:val="28"/>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bl>
    <w:p>
      <w:pPr>
        <w:spacing w:before="100" w:beforeAutospacing="1" w:after="100" w:afterAutospacing="1" w:line="360" w:lineRule="auto"/>
        <w:rPr>
          <w:rFonts w:asciiTheme="minorEastAsia" w:hAnsiTheme="minorEastAsia" w:eastAsiaTheme="minorEastAsia" w:cstheme="minorEastAsia"/>
          <w:bCs/>
          <w:color w:val="auto"/>
          <w:szCs w:val="21"/>
          <w:u w:val="single"/>
        </w:rPr>
      </w:pPr>
      <w:r>
        <w:rPr>
          <w:rFonts w:hint="eastAsia" w:asciiTheme="minorEastAsia" w:hAnsiTheme="minorEastAsia" w:eastAsiaTheme="minorEastAsia" w:cstheme="minorEastAsia"/>
          <w:color w:val="auto"/>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br w:type="textWrapping"/>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磋商供应商名称（</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color w:val="auto"/>
          <w:szCs w:val="21"/>
          <w:u w:val="single"/>
        </w:rPr>
      </w:pPr>
      <w:r>
        <w:rPr>
          <w:rFonts w:hint="eastAsia" w:asciiTheme="minorEastAsia" w:hAnsiTheme="minorEastAsia" w:eastAsiaTheme="minorEastAsia" w:cstheme="minorEastAsia"/>
          <w:color w:val="auto"/>
          <w:szCs w:val="21"/>
          <w:lang w:val="zh-CN"/>
        </w:rPr>
        <w:t>时                 间：           年          月          日</w:t>
      </w:r>
      <w:r>
        <w:rPr>
          <w:rFonts w:hint="eastAsia" w:asciiTheme="minorEastAsia" w:hAnsiTheme="minorEastAsia" w:eastAsiaTheme="minorEastAsia" w:cstheme="minorEastAsia"/>
          <w:color w:val="auto"/>
          <w:szCs w:val="21"/>
        </w:rPr>
        <w:t xml:space="preserve"> </w:t>
      </w:r>
    </w:p>
    <w:p>
      <w:pPr>
        <w:spacing w:before="100" w:beforeAutospacing="1" w:after="100" w:afterAutospacing="1"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color w:val="auto"/>
        </w:rPr>
      </w:pPr>
      <w:bookmarkStart w:id="240" w:name="_Toc24678"/>
      <w:r>
        <w:rPr>
          <w:rFonts w:hint="eastAsia" w:asciiTheme="minorEastAsia" w:hAnsiTheme="minorEastAsia" w:eastAsiaTheme="minorEastAsia" w:cstheme="minorEastAsia"/>
          <w:b/>
          <w:bCs/>
          <w:color w:val="auto"/>
          <w:spacing w:val="6"/>
          <w:szCs w:val="21"/>
        </w:rPr>
        <w:t>二十、</w:t>
      </w:r>
      <w:r>
        <w:rPr>
          <w:rFonts w:hint="eastAsia" w:asciiTheme="minorEastAsia" w:hAnsiTheme="minorEastAsia" w:eastAsiaTheme="minorEastAsia" w:cstheme="minorEastAsia"/>
          <w:b/>
          <w:color w:val="auto"/>
        </w:rPr>
        <w:t>无重大违法记录声明</w:t>
      </w:r>
      <w:bookmarkEnd w:id="233"/>
      <w:bookmarkEnd w:id="234"/>
      <w:bookmarkEnd w:id="235"/>
      <w:bookmarkEnd w:id="236"/>
      <w:bookmarkEnd w:id="237"/>
      <w:bookmarkEnd w:id="240"/>
    </w:p>
    <w:p>
      <w:pPr>
        <w:spacing w:line="480" w:lineRule="auto"/>
        <w:jc w:val="center"/>
        <w:rPr>
          <w:rFonts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rPr>
        <w:t>（磋商供应商应在此基础上，根据本单位实际情况进行声明）</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采购人和采购代理机构：</w:t>
      </w:r>
    </w:p>
    <w:p>
      <w:pPr>
        <w:spacing w:line="48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我方在此声明，我方在参加本</w:t>
      </w:r>
      <w:r>
        <w:rPr>
          <w:rFonts w:hint="eastAsia" w:asciiTheme="minorEastAsia" w:hAnsiTheme="minorEastAsia" w:eastAsiaTheme="minorEastAsia" w:cstheme="minorEastAsia"/>
          <w:color w:val="auto"/>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特此声明！</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 </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磋商供应商名称（</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 xml:space="preserve">）：                                     </w:t>
      </w:r>
    </w:p>
    <w:p>
      <w:pPr>
        <w:spacing w:line="360" w:lineRule="auto"/>
        <w:rPr>
          <w:rFonts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szCs w:val="21"/>
          <w:lang w:val="zh-CN"/>
        </w:rPr>
        <w:t>时                 间：           年          月          日</w:t>
      </w:r>
      <w:r>
        <w:rPr>
          <w:rFonts w:hint="eastAsia" w:asciiTheme="minorEastAsia" w:hAnsiTheme="minorEastAsia" w:eastAsiaTheme="minorEastAsia" w:cstheme="minorEastAsia"/>
          <w:color w:val="auto"/>
          <w:szCs w:val="21"/>
        </w:rPr>
        <w:t xml:space="preserve"> </w:t>
      </w:r>
    </w:p>
    <w:p>
      <w:pPr>
        <w:spacing w:line="360" w:lineRule="auto"/>
        <w:ind w:firstLine="420" w:firstLineChars="200"/>
        <w:rPr>
          <w:rFonts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color w:val="auto"/>
          <w:kern w:val="0"/>
          <w:szCs w:val="21"/>
          <w:shd w:val="clear" w:color="auto" w:fill="FFFFFF"/>
        </w:rPr>
        <w:br w:type="textWrapping"/>
      </w:r>
    </w:p>
    <w:p>
      <w:pPr>
        <w:bidi w:val="0"/>
        <w:rPr>
          <w:rFonts w:hint="eastAsia"/>
        </w:rPr>
      </w:pPr>
      <w:bookmarkStart w:id="241" w:name="_Toc10829"/>
      <w:bookmarkStart w:id="242" w:name="_Toc20138"/>
      <w:r>
        <w:rPr>
          <w:rFonts w:hint="eastAsia"/>
        </w:rPr>
        <w:br w:type="textWrapping"/>
      </w:r>
    </w:p>
    <w:p>
      <w:pPr>
        <w:bidi w:val="0"/>
        <w:rPr>
          <w:rFonts w:hint="eastAsia" w:asciiTheme="minorEastAsia" w:hAnsiTheme="minorEastAsia" w:eastAsiaTheme="minorEastAsia" w:cstheme="minorEastAsia"/>
          <w:color w:val="auto"/>
          <w:kern w:val="0"/>
          <w:szCs w:val="21"/>
          <w:shd w:val="clear" w:color="auto" w:fill="FFFFFF"/>
        </w:rPr>
      </w:pPr>
      <w:r>
        <w:rPr>
          <w:rFonts w:hint="eastAsia"/>
        </w:rPr>
        <w:br w:type="page"/>
      </w:r>
    </w:p>
    <w:p>
      <w:pPr>
        <w:jc w:val="center"/>
        <w:outlineLvl w:val="1"/>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b/>
          <w:bCs/>
          <w:color w:val="auto"/>
          <w:kern w:val="0"/>
          <w:szCs w:val="21"/>
          <w:shd w:val="clear" w:color="auto" w:fill="FFFFFF"/>
        </w:rPr>
        <w:t>二十一、磋商供应商认为应该提交的其它文件（格式自拟）</w:t>
      </w:r>
      <w:bookmarkEnd w:id="241"/>
      <w:r>
        <w:rPr>
          <w:rFonts w:hint="eastAsia" w:asciiTheme="minorEastAsia" w:hAnsiTheme="minorEastAsia" w:eastAsiaTheme="minorEastAsia" w:cstheme="minorEastAsia"/>
          <w:b/>
          <w:bCs/>
          <w:color w:val="auto"/>
          <w:kern w:val="0"/>
          <w:szCs w:val="21"/>
          <w:shd w:val="clear" w:color="auto" w:fill="FFFFFF"/>
        </w:rPr>
        <w:br w:type="textWrapping"/>
      </w:r>
      <w:bookmarkEnd w:id="242"/>
    </w:p>
    <w:tbl>
      <w:tblPr>
        <w:tblStyle w:val="28"/>
        <w:tblW w:w="5484" w:type="pct"/>
        <w:tblInd w:w="-466" w:type="dxa"/>
        <w:tblLayout w:type="fixed"/>
        <w:tblCellMar>
          <w:top w:w="0" w:type="dxa"/>
          <w:left w:w="0" w:type="dxa"/>
          <w:bottom w:w="0" w:type="dxa"/>
          <w:right w:w="0" w:type="dxa"/>
        </w:tblCellMar>
      </w:tblPr>
      <w:tblGrid>
        <w:gridCol w:w="1163"/>
        <w:gridCol w:w="663"/>
        <w:gridCol w:w="761"/>
        <w:gridCol w:w="819"/>
        <w:gridCol w:w="665"/>
        <w:gridCol w:w="783"/>
        <w:gridCol w:w="783"/>
        <w:gridCol w:w="657"/>
        <w:gridCol w:w="767"/>
        <w:gridCol w:w="746"/>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color w:val="auto"/>
                <w:sz w:val="40"/>
                <w:szCs w:val="40"/>
              </w:rPr>
            </w:pPr>
            <w:r>
              <w:rPr>
                <w:rFonts w:hint="eastAsia" w:ascii="黑体" w:hAnsi="宋体" w:eastAsia="黑体" w:cs="黑体"/>
                <w:b/>
                <w:color w:val="auto"/>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中小微型企业（</w:t>
            </w:r>
            <w:r>
              <w:rPr>
                <w:rFonts w:hint="eastAsia" w:ascii="宋体" w:hAnsi="宋体" w:cs="宋体"/>
                <w:b/>
                <w:color w:val="auto"/>
                <w:kern w:val="0"/>
                <w:szCs w:val="21"/>
                <w:lang w:bidi="ar"/>
              </w:rPr>
              <w:t>或</w:t>
            </w:r>
            <w:r>
              <w:rPr>
                <w:rFonts w:hint="eastAsia" w:ascii="宋体" w:hAnsi="宋体" w:cs="宋体"/>
                <w:color w:val="auto"/>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中型企业（</w:t>
            </w:r>
            <w:r>
              <w:rPr>
                <w:rFonts w:hint="eastAsia" w:ascii="宋体" w:hAnsi="宋体" w:cs="宋体"/>
                <w:b/>
                <w:color w:val="auto"/>
                <w:kern w:val="0"/>
                <w:szCs w:val="21"/>
                <w:lang w:bidi="ar"/>
              </w:rPr>
              <w:t>且</w:t>
            </w:r>
            <w:r>
              <w:rPr>
                <w:rFonts w:hint="eastAsia" w:ascii="宋体" w:hAnsi="宋体" w:cs="宋体"/>
                <w:color w:val="auto"/>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小型企业（</w:t>
            </w:r>
            <w:r>
              <w:rPr>
                <w:rFonts w:hint="eastAsia" w:ascii="宋体" w:hAnsi="宋体" w:cs="宋体"/>
                <w:b/>
                <w:color w:val="auto"/>
                <w:kern w:val="0"/>
                <w:szCs w:val="21"/>
                <w:lang w:bidi="ar"/>
              </w:rPr>
              <w:t>且</w:t>
            </w:r>
            <w:r>
              <w:rPr>
                <w:rFonts w:hint="eastAsia" w:ascii="宋体" w:hAnsi="宋体" w:cs="宋体"/>
                <w:color w:val="auto"/>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微型企业（</w:t>
            </w:r>
            <w:r>
              <w:rPr>
                <w:rFonts w:hint="eastAsia" w:ascii="宋体" w:hAnsi="宋体" w:cs="宋体"/>
                <w:b/>
                <w:color w:val="auto"/>
                <w:kern w:val="0"/>
                <w:szCs w:val="21"/>
                <w:lang w:bidi="ar"/>
              </w:rPr>
              <w:t>或</w:t>
            </w:r>
            <w:r>
              <w:rPr>
                <w:rFonts w:hint="eastAsia" w:ascii="宋体" w:hAnsi="宋体" w:cs="宋体"/>
                <w:color w:val="auto"/>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auto"/>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auto"/>
                <w:szCs w:val="21"/>
              </w:rPr>
            </w:pPr>
            <w:r>
              <w:rPr>
                <w:rFonts w:hint="eastAsia" w:ascii="宋体" w:hAnsi="宋体" w:cs="宋体"/>
                <w:color w:val="auto"/>
                <w:kern w:val="0"/>
                <w:szCs w:val="21"/>
                <w:lang w:bidi="ar"/>
              </w:rPr>
              <w:t>本规定适用于在中华人民共和国境内依法设立的各类所有制和各种组织形式的企业。</w:t>
            </w:r>
            <w:r>
              <w:rPr>
                <w:rFonts w:hint="eastAsia" w:ascii="宋体" w:hAnsi="宋体" w:cs="宋体"/>
                <w:b/>
                <w:color w:val="auto"/>
                <w:kern w:val="0"/>
                <w:szCs w:val="21"/>
                <w:lang w:bidi="ar"/>
              </w:rPr>
              <w:t>个体工商户</w:t>
            </w:r>
            <w:r>
              <w:rPr>
                <w:rFonts w:hint="eastAsia" w:ascii="宋体" w:hAnsi="宋体" w:cs="宋体"/>
                <w:color w:val="auto"/>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auto"/>
                <w:szCs w:val="21"/>
              </w:rPr>
            </w:pPr>
            <w:r>
              <w:rPr>
                <w:rFonts w:hint="eastAsia" w:ascii="宋体" w:hAnsi="宋体" w:cs="宋体"/>
                <w:color w:val="auto"/>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color w:val="auto"/>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Consolas">
    <w:panose1 w:val="020B0609020204030204"/>
    <w:charset w:val="00"/>
    <w:family w:val="auto"/>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Wingdings 2">
    <w:altName w:val="Wingdings"/>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2"/>
      </w:rPr>
    </w:pPr>
    <w:r>
      <w:fldChar w:fldCharType="begin"/>
    </w:r>
    <w:r>
      <w:rPr>
        <w:rStyle w:val="32"/>
      </w:rPr>
      <w:instrText xml:space="preserve">PAGE  </w:instrText>
    </w:r>
    <w:r>
      <w:fldChar w:fldCharType="end"/>
    </w:r>
  </w:p>
  <w:p>
    <w:pPr>
      <w:pStyle w:val="2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 PAGE   \* MERGEFORMAT </w:instrText>
    </w:r>
    <w:r>
      <w:fldChar w:fldCharType="separate"/>
    </w:r>
    <w:r>
      <w:rPr>
        <w:lang w:val="zh-CN"/>
      </w:rPr>
      <w:t>46</w:t>
    </w:r>
    <w:r>
      <w:fldChar w:fldCharType="end"/>
    </w:r>
  </w:p>
  <w:p>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pict>
        <v:shape id="PowerPlusWaterMarkObject2" o:spid="_x0000_s1025"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101"/>
      <w:lvlText w:val="%1.%2.%3"/>
      <w:lvlJc w:val="left"/>
      <w:pPr>
        <w:tabs>
          <w:tab w:val="left" w:pos="720"/>
        </w:tabs>
        <w:ind w:left="720" w:hanging="153"/>
      </w:pPr>
      <w:rPr>
        <w:rFonts w:hint="eastAsia"/>
      </w:rPr>
    </w:lvl>
    <w:lvl w:ilvl="3" w:tentative="0">
      <w:start w:val="1"/>
      <w:numFmt w:val="decimal"/>
      <w:pStyle w:val="88"/>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20BA2AF0"/>
    <w:multiLevelType w:val="singleLevel"/>
    <w:tmpl w:val="20BA2AF0"/>
    <w:lvl w:ilvl="0" w:tentative="0">
      <w:start w:val="1"/>
      <w:numFmt w:val="decimal"/>
      <w:suff w:val="space"/>
      <w:lvlText w:val="%1）"/>
      <w:lvlJc w:val="left"/>
    </w:lvl>
  </w:abstractNum>
  <w:abstractNum w:abstractNumId="14">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5">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6">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5"/>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0">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2">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5">
    <w:nsid w:val="4B331C36"/>
    <w:multiLevelType w:val="multilevel"/>
    <w:tmpl w:val="4B331C36"/>
    <w:lvl w:ilvl="0" w:tentative="0">
      <w:start w:val="1"/>
      <w:numFmt w:val="japaneseCounting"/>
      <w:pStyle w:val="100"/>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7">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8">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9">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0">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2">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3">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4">
    <w:nsid w:val="6CEA2025"/>
    <w:multiLevelType w:val="multilevel"/>
    <w:tmpl w:val="6CEA2025"/>
    <w:lvl w:ilvl="0" w:tentative="0">
      <w:start w:val="1"/>
      <w:numFmt w:val="none"/>
      <w:pStyle w:val="77"/>
      <w:suff w:val="nothing"/>
      <w:lvlText w:val="%1"/>
      <w:lvlJc w:val="left"/>
      <w:pPr>
        <w:ind w:left="0" w:firstLine="0"/>
      </w:pPr>
      <w:rPr>
        <w:rFonts w:hint="default" w:ascii="Times New Roman" w:hAnsi="Times New Roman"/>
        <w:b/>
        <w:i w:val="0"/>
        <w:sz w:val="21"/>
      </w:rPr>
    </w:lvl>
    <w:lvl w:ilvl="1" w:tentative="0">
      <w:start w:val="1"/>
      <w:numFmt w:val="decimal"/>
      <w:pStyle w:val="80"/>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6"/>
      <w:suff w:val="nothing"/>
      <w:lvlText w:val="%1%2.%3　"/>
      <w:lvlJc w:val="left"/>
      <w:pPr>
        <w:ind w:left="720" w:firstLine="0"/>
      </w:pPr>
      <w:rPr>
        <w:rFonts w:hint="eastAsia" w:ascii="黑体" w:hAnsi="Times New Roman" w:eastAsia="黑体"/>
        <w:b w:val="0"/>
        <w:i w:val="0"/>
        <w:sz w:val="21"/>
      </w:rPr>
    </w:lvl>
    <w:lvl w:ilvl="3" w:tentative="0">
      <w:start w:val="1"/>
      <w:numFmt w:val="decimal"/>
      <w:pStyle w:val="85"/>
      <w:suff w:val="nothing"/>
      <w:lvlText w:val="%1%2.4.%4　"/>
      <w:lvlJc w:val="left"/>
      <w:pPr>
        <w:ind w:left="420" w:firstLine="0"/>
      </w:pPr>
      <w:rPr>
        <w:rFonts w:hint="eastAsia" w:ascii="黑体" w:hAnsi="Times New Roman" w:eastAsia="黑体"/>
        <w:b w:val="0"/>
        <w:i w:val="0"/>
        <w:sz w:val="21"/>
      </w:rPr>
    </w:lvl>
    <w:lvl w:ilvl="4" w:tentative="0">
      <w:start w:val="1"/>
      <w:numFmt w:val="decimal"/>
      <w:pStyle w:val="92"/>
      <w:suff w:val="nothing"/>
      <w:lvlText w:val="5.%12.5.%5　"/>
      <w:lvlJc w:val="left"/>
      <w:pPr>
        <w:ind w:left="420" w:firstLine="0"/>
      </w:pPr>
      <w:rPr>
        <w:rFonts w:hint="eastAsia" w:ascii="黑体" w:hAnsi="Times New Roman" w:eastAsia="黑体"/>
        <w:b w:val="0"/>
        <w:i w:val="0"/>
        <w:sz w:val="21"/>
      </w:rPr>
    </w:lvl>
    <w:lvl w:ilvl="5" w:tentative="0">
      <w:start w:val="1"/>
      <w:numFmt w:val="decimal"/>
      <w:pStyle w:val="98"/>
      <w:suff w:val="nothing"/>
      <w:lvlText w:val="%1%2.%3.%4.%5.%6　"/>
      <w:lvlJc w:val="left"/>
      <w:pPr>
        <w:ind w:left="0" w:firstLine="0"/>
      </w:pPr>
      <w:rPr>
        <w:rFonts w:hint="eastAsia" w:ascii="黑体" w:hAnsi="Times New Roman" w:eastAsia="黑体"/>
        <w:b w:val="0"/>
        <w:i w:val="0"/>
        <w:sz w:val="21"/>
      </w:rPr>
    </w:lvl>
    <w:lvl w:ilvl="6" w:tentative="0">
      <w:start w:val="1"/>
      <w:numFmt w:val="decimal"/>
      <w:pStyle w:val="9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5">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6">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9">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0">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1">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4"/>
  </w:num>
  <w:num w:numId="2">
    <w:abstractNumId w:val="8"/>
  </w:num>
  <w:num w:numId="3">
    <w:abstractNumId w:val="16"/>
  </w:num>
  <w:num w:numId="4">
    <w:abstractNumId w:val="25"/>
  </w:num>
  <w:num w:numId="5">
    <w:abstractNumId w:val="11"/>
  </w:num>
  <w:num w:numId="6">
    <w:abstractNumId w:val="10"/>
  </w:num>
  <w:num w:numId="7">
    <w:abstractNumId w:val="6"/>
  </w:num>
  <w:num w:numId="8">
    <w:abstractNumId w:val="12"/>
  </w:num>
  <w:num w:numId="9">
    <w:abstractNumId w:val="30"/>
  </w:num>
  <w:num w:numId="10">
    <w:abstractNumId w:val="40"/>
  </w:num>
  <w:num w:numId="11">
    <w:abstractNumId w:val="41"/>
  </w:num>
  <w:num w:numId="12">
    <w:abstractNumId w:val="24"/>
  </w:num>
  <w:num w:numId="13">
    <w:abstractNumId w:val="27"/>
  </w:num>
  <w:num w:numId="14">
    <w:abstractNumId w:val="29"/>
  </w:num>
  <w:num w:numId="15">
    <w:abstractNumId w:val="31"/>
  </w:num>
  <w:num w:numId="16">
    <w:abstractNumId w:val="1"/>
  </w:num>
  <w:num w:numId="17">
    <w:abstractNumId w:val="33"/>
  </w:num>
  <w:num w:numId="18">
    <w:abstractNumId w:val="3"/>
  </w:num>
  <w:num w:numId="19">
    <w:abstractNumId w:val="22"/>
  </w:num>
  <w:num w:numId="20">
    <w:abstractNumId w:val="18"/>
  </w:num>
  <w:num w:numId="21">
    <w:abstractNumId w:val="36"/>
  </w:num>
  <w:num w:numId="22">
    <w:abstractNumId w:val="9"/>
  </w:num>
  <w:num w:numId="23">
    <w:abstractNumId w:val="23"/>
  </w:num>
  <w:num w:numId="24">
    <w:abstractNumId w:val="5"/>
  </w:num>
  <w:num w:numId="25">
    <w:abstractNumId w:val="35"/>
  </w:num>
  <w:num w:numId="26">
    <w:abstractNumId w:val="39"/>
  </w:num>
  <w:num w:numId="27">
    <w:abstractNumId w:val="26"/>
  </w:num>
  <w:num w:numId="28">
    <w:abstractNumId w:val="20"/>
  </w:num>
  <w:num w:numId="29">
    <w:abstractNumId w:val="7"/>
  </w:num>
  <w:num w:numId="30">
    <w:abstractNumId w:val="17"/>
  </w:num>
  <w:num w:numId="31">
    <w:abstractNumId w:val="38"/>
  </w:num>
  <w:num w:numId="32">
    <w:abstractNumId w:val="21"/>
  </w:num>
  <w:num w:numId="33">
    <w:abstractNumId w:val="13"/>
  </w:num>
  <w:num w:numId="34">
    <w:abstractNumId w:val="37"/>
  </w:num>
  <w:num w:numId="35">
    <w:abstractNumId w:val="32"/>
  </w:num>
  <w:num w:numId="36">
    <w:abstractNumId w:val="14"/>
  </w:num>
  <w:num w:numId="37">
    <w:abstractNumId w:val="28"/>
  </w:num>
  <w:num w:numId="38">
    <w:abstractNumId w:val="0"/>
  </w:num>
  <w:num w:numId="39">
    <w:abstractNumId w:val="15"/>
  </w:num>
  <w:num w:numId="40">
    <w:abstractNumId w:val="19"/>
  </w:num>
  <w:num w:numId="41">
    <w:abstractNumId w:val="4"/>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011"/>
    <w:rsid w:val="001B0296"/>
    <w:rsid w:val="001B07C7"/>
    <w:rsid w:val="001B07DE"/>
    <w:rsid w:val="001B1154"/>
    <w:rsid w:val="001B20B0"/>
    <w:rsid w:val="001B727F"/>
    <w:rsid w:val="001B78A1"/>
    <w:rsid w:val="001C1736"/>
    <w:rsid w:val="001C1DA4"/>
    <w:rsid w:val="001C33E7"/>
    <w:rsid w:val="001C3B5D"/>
    <w:rsid w:val="001C4413"/>
    <w:rsid w:val="001C5195"/>
    <w:rsid w:val="001C5A5B"/>
    <w:rsid w:val="001C6428"/>
    <w:rsid w:val="001C6B84"/>
    <w:rsid w:val="001D4194"/>
    <w:rsid w:val="001D4319"/>
    <w:rsid w:val="001D572B"/>
    <w:rsid w:val="001D7585"/>
    <w:rsid w:val="001E0525"/>
    <w:rsid w:val="001E0C05"/>
    <w:rsid w:val="001E3837"/>
    <w:rsid w:val="001E3E08"/>
    <w:rsid w:val="001E3F69"/>
    <w:rsid w:val="001E56C2"/>
    <w:rsid w:val="001E5ED7"/>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6EC3"/>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9F5"/>
    <w:rsid w:val="00374C54"/>
    <w:rsid w:val="00376951"/>
    <w:rsid w:val="00377473"/>
    <w:rsid w:val="0037775F"/>
    <w:rsid w:val="003804FB"/>
    <w:rsid w:val="00382FC0"/>
    <w:rsid w:val="00383978"/>
    <w:rsid w:val="00384AB1"/>
    <w:rsid w:val="00385873"/>
    <w:rsid w:val="00385E6D"/>
    <w:rsid w:val="0038616F"/>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1FD3"/>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5201"/>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37F75"/>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6E5"/>
    <w:rsid w:val="00572729"/>
    <w:rsid w:val="00572851"/>
    <w:rsid w:val="00572CBA"/>
    <w:rsid w:val="00572F28"/>
    <w:rsid w:val="005730AB"/>
    <w:rsid w:val="0057497A"/>
    <w:rsid w:val="00575D74"/>
    <w:rsid w:val="00576EB0"/>
    <w:rsid w:val="00576FD7"/>
    <w:rsid w:val="00577616"/>
    <w:rsid w:val="00580693"/>
    <w:rsid w:val="005809F8"/>
    <w:rsid w:val="0058131F"/>
    <w:rsid w:val="00581E73"/>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4A22"/>
    <w:rsid w:val="005F5ED3"/>
    <w:rsid w:val="006001B3"/>
    <w:rsid w:val="00601AE5"/>
    <w:rsid w:val="0060350F"/>
    <w:rsid w:val="00603B97"/>
    <w:rsid w:val="00604B0F"/>
    <w:rsid w:val="00604C27"/>
    <w:rsid w:val="00605E39"/>
    <w:rsid w:val="006077FB"/>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6DAD"/>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2C17"/>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38F"/>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042"/>
    <w:rsid w:val="009928DA"/>
    <w:rsid w:val="00992BB0"/>
    <w:rsid w:val="00993839"/>
    <w:rsid w:val="009938D0"/>
    <w:rsid w:val="00995CC4"/>
    <w:rsid w:val="0099610A"/>
    <w:rsid w:val="00996BC0"/>
    <w:rsid w:val="009A0565"/>
    <w:rsid w:val="009A15EA"/>
    <w:rsid w:val="009A27C5"/>
    <w:rsid w:val="009A3164"/>
    <w:rsid w:val="009A4BE1"/>
    <w:rsid w:val="009A768D"/>
    <w:rsid w:val="009A7F27"/>
    <w:rsid w:val="009B14B6"/>
    <w:rsid w:val="009B1812"/>
    <w:rsid w:val="009B1C94"/>
    <w:rsid w:val="009B4F95"/>
    <w:rsid w:val="009B5055"/>
    <w:rsid w:val="009B54B9"/>
    <w:rsid w:val="009B7DF7"/>
    <w:rsid w:val="009C09E4"/>
    <w:rsid w:val="009C0F8B"/>
    <w:rsid w:val="009C7765"/>
    <w:rsid w:val="009C7D28"/>
    <w:rsid w:val="009D2759"/>
    <w:rsid w:val="009D28E3"/>
    <w:rsid w:val="009D3663"/>
    <w:rsid w:val="009D3A28"/>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1F5D"/>
    <w:rsid w:val="00A3507B"/>
    <w:rsid w:val="00A37517"/>
    <w:rsid w:val="00A37624"/>
    <w:rsid w:val="00A3762D"/>
    <w:rsid w:val="00A407B6"/>
    <w:rsid w:val="00A41BC5"/>
    <w:rsid w:val="00A42929"/>
    <w:rsid w:val="00A43083"/>
    <w:rsid w:val="00A442B8"/>
    <w:rsid w:val="00A46350"/>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2D9"/>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48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3F8"/>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967BE"/>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5894"/>
    <w:rsid w:val="00C67B1C"/>
    <w:rsid w:val="00C70B7D"/>
    <w:rsid w:val="00C71F13"/>
    <w:rsid w:val="00C74990"/>
    <w:rsid w:val="00C755C2"/>
    <w:rsid w:val="00C76323"/>
    <w:rsid w:val="00C7768B"/>
    <w:rsid w:val="00C77D8A"/>
    <w:rsid w:val="00C82D85"/>
    <w:rsid w:val="00C83AA7"/>
    <w:rsid w:val="00C843FB"/>
    <w:rsid w:val="00C84AA3"/>
    <w:rsid w:val="00C84FB0"/>
    <w:rsid w:val="00C919FC"/>
    <w:rsid w:val="00C948C2"/>
    <w:rsid w:val="00C958B5"/>
    <w:rsid w:val="00CA0315"/>
    <w:rsid w:val="00CA19E3"/>
    <w:rsid w:val="00CA26B8"/>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1FDA"/>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36B6"/>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B5"/>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A38"/>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370"/>
    <w:rsid w:val="00E805C4"/>
    <w:rsid w:val="00E8197B"/>
    <w:rsid w:val="00E83105"/>
    <w:rsid w:val="00E85D3B"/>
    <w:rsid w:val="00E87ADE"/>
    <w:rsid w:val="00E90FED"/>
    <w:rsid w:val="00E9230C"/>
    <w:rsid w:val="00E92EC4"/>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2C7E"/>
    <w:rsid w:val="00F942E1"/>
    <w:rsid w:val="00F95689"/>
    <w:rsid w:val="00F956B3"/>
    <w:rsid w:val="00F95BCA"/>
    <w:rsid w:val="00F964A8"/>
    <w:rsid w:val="00F972CC"/>
    <w:rsid w:val="00F97F5E"/>
    <w:rsid w:val="00FA056A"/>
    <w:rsid w:val="00FA0573"/>
    <w:rsid w:val="00FA21AC"/>
    <w:rsid w:val="00FA31E9"/>
    <w:rsid w:val="00FA5904"/>
    <w:rsid w:val="00FA618E"/>
    <w:rsid w:val="00FA6586"/>
    <w:rsid w:val="00FA6954"/>
    <w:rsid w:val="00FB3003"/>
    <w:rsid w:val="00FB3077"/>
    <w:rsid w:val="00FB378E"/>
    <w:rsid w:val="00FB5396"/>
    <w:rsid w:val="00FB6B63"/>
    <w:rsid w:val="00FC1687"/>
    <w:rsid w:val="00FC2B18"/>
    <w:rsid w:val="00FC5865"/>
    <w:rsid w:val="00FC79DC"/>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2F416B"/>
    <w:rsid w:val="01461ACD"/>
    <w:rsid w:val="01757860"/>
    <w:rsid w:val="018D0205"/>
    <w:rsid w:val="01C12A88"/>
    <w:rsid w:val="01CC76EC"/>
    <w:rsid w:val="01D07706"/>
    <w:rsid w:val="0221271C"/>
    <w:rsid w:val="022D649C"/>
    <w:rsid w:val="02351774"/>
    <w:rsid w:val="023A6ECB"/>
    <w:rsid w:val="02420646"/>
    <w:rsid w:val="025119B3"/>
    <w:rsid w:val="028223A8"/>
    <w:rsid w:val="02A36C44"/>
    <w:rsid w:val="02A9706C"/>
    <w:rsid w:val="02AF6599"/>
    <w:rsid w:val="02C06E79"/>
    <w:rsid w:val="02D957AA"/>
    <w:rsid w:val="02DE374B"/>
    <w:rsid w:val="03044359"/>
    <w:rsid w:val="03173665"/>
    <w:rsid w:val="031C67BA"/>
    <w:rsid w:val="03442A09"/>
    <w:rsid w:val="03511571"/>
    <w:rsid w:val="035E37BC"/>
    <w:rsid w:val="03715197"/>
    <w:rsid w:val="038F3DB7"/>
    <w:rsid w:val="03A25185"/>
    <w:rsid w:val="03A92E0C"/>
    <w:rsid w:val="03A93F07"/>
    <w:rsid w:val="03C554CB"/>
    <w:rsid w:val="03DD17F0"/>
    <w:rsid w:val="03F730D5"/>
    <w:rsid w:val="040E2332"/>
    <w:rsid w:val="040E4213"/>
    <w:rsid w:val="04137380"/>
    <w:rsid w:val="04160294"/>
    <w:rsid w:val="041D2A27"/>
    <w:rsid w:val="0421064D"/>
    <w:rsid w:val="0424709F"/>
    <w:rsid w:val="04273734"/>
    <w:rsid w:val="042C6AE4"/>
    <w:rsid w:val="0439748C"/>
    <w:rsid w:val="045F4428"/>
    <w:rsid w:val="04663DEE"/>
    <w:rsid w:val="048B6224"/>
    <w:rsid w:val="049C3EF3"/>
    <w:rsid w:val="04BC1BA0"/>
    <w:rsid w:val="04CC4566"/>
    <w:rsid w:val="04E52637"/>
    <w:rsid w:val="04FD23FC"/>
    <w:rsid w:val="05005426"/>
    <w:rsid w:val="0507175F"/>
    <w:rsid w:val="050B178D"/>
    <w:rsid w:val="053201CC"/>
    <w:rsid w:val="055A38B5"/>
    <w:rsid w:val="059C5F8E"/>
    <w:rsid w:val="05AD5736"/>
    <w:rsid w:val="05BB241B"/>
    <w:rsid w:val="05CA2818"/>
    <w:rsid w:val="05CF4780"/>
    <w:rsid w:val="05FA06DD"/>
    <w:rsid w:val="06023A8F"/>
    <w:rsid w:val="0611621E"/>
    <w:rsid w:val="063F258E"/>
    <w:rsid w:val="065044F8"/>
    <w:rsid w:val="0653482B"/>
    <w:rsid w:val="06B7286F"/>
    <w:rsid w:val="06BF75C9"/>
    <w:rsid w:val="06C116BD"/>
    <w:rsid w:val="06C662D6"/>
    <w:rsid w:val="06C767F8"/>
    <w:rsid w:val="06E93094"/>
    <w:rsid w:val="06EA2FBD"/>
    <w:rsid w:val="06ED1770"/>
    <w:rsid w:val="06FE4AAE"/>
    <w:rsid w:val="070157D1"/>
    <w:rsid w:val="07117CDC"/>
    <w:rsid w:val="07140111"/>
    <w:rsid w:val="07354BE2"/>
    <w:rsid w:val="073C402C"/>
    <w:rsid w:val="073C7668"/>
    <w:rsid w:val="074E2EF7"/>
    <w:rsid w:val="07506DDE"/>
    <w:rsid w:val="076C50C8"/>
    <w:rsid w:val="07752464"/>
    <w:rsid w:val="078360F1"/>
    <w:rsid w:val="079555F7"/>
    <w:rsid w:val="079E3E7E"/>
    <w:rsid w:val="07AA21A6"/>
    <w:rsid w:val="07B323DD"/>
    <w:rsid w:val="07CB1191"/>
    <w:rsid w:val="07D33E7D"/>
    <w:rsid w:val="07DA2552"/>
    <w:rsid w:val="07E61182"/>
    <w:rsid w:val="07F876CF"/>
    <w:rsid w:val="07FA3FC0"/>
    <w:rsid w:val="08376BE0"/>
    <w:rsid w:val="083C7789"/>
    <w:rsid w:val="08424D1E"/>
    <w:rsid w:val="08483779"/>
    <w:rsid w:val="085D5FC0"/>
    <w:rsid w:val="0886626A"/>
    <w:rsid w:val="08912C45"/>
    <w:rsid w:val="08AD0CF8"/>
    <w:rsid w:val="08AD503B"/>
    <w:rsid w:val="08B604BF"/>
    <w:rsid w:val="08C76CFD"/>
    <w:rsid w:val="08E340CC"/>
    <w:rsid w:val="08E95B0E"/>
    <w:rsid w:val="08FD2E27"/>
    <w:rsid w:val="090C54BE"/>
    <w:rsid w:val="09175C96"/>
    <w:rsid w:val="09271627"/>
    <w:rsid w:val="092936B1"/>
    <w:rsid w:val="096A4BCE"/>
    <w:rsid w:val="09710521"/>
    <w:rsid w:val="098214F5"/>
    <w:rsid w:val="098226D8"/>
    <w:rsid w:val="09894939"/>
    <w:rsid w:val="09A02CD8"/>
    <w:rsid w:val="09D771B0"/>
    <w:rsid w:val="09DA500D"/>
    <w:rsid w:val="0A092D78"/>
    <w:rsid w:val="0A165448"/>
    <w:rsid w:val="0A3F61A5"/>
    <w:rsid w:val="0A4F6442"/>
    <w:rsid w:val="0A4F76B2"/>
    <w:rsid w:val="0A502EA2"/>
    <w:rsid w:val="0A5758F7"/>
    <w:rsid w:val="0A5806A9"/>
    <w:rsid w:val="0A67144A"/>
    <w:rsid w:val="0A71618F"/>
    <w:rsid w:val="0A7E1671"/>
    <w:rsid w:val="0A8F50B1"/>
    <w:rsid w:val="0A9A6B7F"/>
    <w:rsid w:val="0AB610B3"/>
    <w:rsid w:val="0AC16F66"/>
    <w:rsid w:val="0AC21C32"/>
    <w:rsid w:val="0AE86D78"/>
    <w:rsid w:val="0B435CD5"/>
    <w:rsid w:val="0B456825"/>
    <w:rsid w:val="0B4B17AC"/>
    <w:rsid w:val="0B4C1B40"/>
    <w:rsid w:val="0B4F5787"/>
    <w:rsid w:val="0B6036D8"/>
    <w:rsid w:val="0B61723B"/>
    <w:rsid w:val="0B625354"/>
    <w:rsid w:val="0B6438A9"/>
    <w:rsid w:val="0BB80799"/>
    <w:rsid w:val="0BBC2B25"/>
    <w:rsid w:val="0BC22757"/>
    <w:rsid w:val="0BC82585"/>
    <w:rsid w:val="0BCA068D"/>
    <w:rsid w:val="0BD0342B"/>
    <w:rsid w:val="0BE3070D"/>
    <w:rsid w:val="0BE659E2"/>
    <w:rsid w:val="0BE94FBA"/>
    <w:rsid w:val="0C367BBD"/>
    <w:rsid w:val="0C3C4113"/>
    <w:rsid w:val="0C4225D4"/>
    <w:rsid w:val="0C49239C"/>
    <w:rsid w:val="0C4E57C8"/>
    <w:rsid w:val="0C7336D0"/>
    <w:rsid w:val="0C896AD7"/>
    <w:rsid w:val="0CC36F40"/>
    <w:rsid w:val="0CC872A8"/>
    <w:rsid w:val="0CCE2CF7"/>
    <w:rsid w:val="0CE75800"/>
    <w:rsid w:val="0CF02600"/>
    <w:rsid w:val="0CF55DC7"/>
    <w:rsid w:val="0D162766"/>
    <w:rsid w:val="0D2564A8"/>
    <w:rsid w:val="0D30615A"/>
    <w:rsid w:val="0D4A590E"/>
    <w:rsid w:val="0D4C5E85"/>
    <w:rsid w:val="0D4D3153"/>
    <w:rsid w:val="0D50445B"/>
    <w:rsid w:val="0D7807F1"/>
    <w:rsid w:val="0D895A46"/>
    <w:rsid w:val="0D9B67EB"/>
    <w:rsid w:val="0DA45AD2"/>
    <w:rsid w:val="0DE86CEC"/>
    <w:rsid w:val="0DF2282E"/>
    <w:rsid w:val="0E057004"/>
    <w:rsid w:val="0E0A51BD"/>
    <w:rsid w:val="0E141CA7"/>
    <w:rsid w:val="0E166FCE"/>
    <w:rsid w:val="0E172DFC"/>
    <w:rsid w:val="0E1D6D0A"/>
    <w:rsid w:val="0E386D2E"/>
    <w:rsid w:val="0E3D1DE5"/>
    <w:rsid w:val="0E442D5B"/>
    <w:rsid w:val="0E4E7B59"/>
    <w:rsid w:val="0E6E5960"/>
    <w:rsid w:val="0EAB7B80"/>
    <w:rsid w:val="0EAC0C2F"/>
    <w:rsid w:val="0EAE4301"/>
    <w:rsid w:val="0ED27024"/>
    <w:rsid w:val="0ED94F19"/>
    <w:rsid w:val="0EDC5EDB"/>
    <w:rsid w:val="0EF92C56"/>
    <w:rsid w:val="0F0A381F"/>
    <w:rsid w:val="0F1B0DB7"/>
    <w:rsid w:val="0F1B23BF"/>
    <w:rsid w:val="0F2514C2"/>
    <w:rsid w:val="0F3425BB"/>
    <w:rsid w:val="0F5A5FCA"/>
    <w:rsid w:val="0F6B103C"/>
    <w:rsid w:val="0F6C7EA7"/>
    <w:rsid w:val="0F8F2CC8"/>
    <w:rsid w:val="0F9603EF"/>
    <w:rsid w:val="0FA03F81"/>
    <w:rsid w:val="0FAD1102"/>
    <w:rsid w:val="0FC5121F"/>
    <w:rsid w:val="0FC52200"/>
    <w:rsid w:val="0FC57219"/>
    <w:rsid w:val="0FCD54FE"/>
    <w:rsid w:val="0FDB1E2E"/>
    <w:rsid w:val="0FF11896"/>
    <w:rsid w:val="0FF743B8"/>
    <w:rsid w:val="10042CED"/>
    <w:rsid w:val="104114BC"/>
    <w:rsid w:val="104F21E7"/>
    <w:rsid w:val="10522A43"/>
    <w:rsid w:val="105950B7"/>
    <w:rsid w:val="10681B45"/>
    <w:rsid w:val="108A5F8A"/>
    <w:rsid w:val="10B002FD"/>
    <w:rsid w:val="10D545EB"/>
    <w:rsid w:val="10E51E7E"/>
    <w:rsid w:val="110045E6"/>
    <w:rsid w:val="1109548A"/>
    <w:rsid w:val="110E4212"/>
    <w:rsid w:val="11156035"/>
    <w:rsid w:val="111F2499"/>
    <w:rsid w:val="11296D36"/>
    <w:rsid w:val="1146103D"/>
    <w:rsid w:val="116C7384"/>
    <w:rsid w:val="117874EE"/>
    <w:rsid w:val="11CA1092"/>
    <w:rsid w:val="121A73FA"/>
    <w:rsid w:val="12305D0B"/>
    <w:rsid w:val="124B307E"/>
    <w:rsid w:val="12595354"/>
    <w:rsid w:val="12676ACE"/>
    <w:rsid w:val="128C79F5"/>
    <w:rsid w:val="12987FD1"/>
    <w:rsid w:val="12D57C7C"/>
    <w:rsid w:val="12DE2F04"/>
    <w:rsid w:val="12E84200"/>
    <w:rsid w:val="12ED7A68"/>
    <w:rsid w:val="12F453F7"/>
    <w:rsid w:val="13021765"/>
    <w:rsid w:val="135A65CD"/>
    <w:rsid w:val="13681291"/>
    <w:rsid w:val="13743CE5"/>
    <w:rsid w:val="139A72A6"/>
    <w:rsid w:val="13D75C16"/>
    <w:rsid w:val="141A71FC"/>
    <w:rsid w:val="14393E39"/>
    <w:rsid w:val="1439492C"/>
    <w:rsid w:val="144E282E"/>
    <w:rsid w:val="148B16AC"/>
    <w:rsid w:val="148F527B"/>
    <w:rsid w:val="14905D77"/>
    <w:rsid w:val="14C13D98"/>
    <w:rsid w:val="14C818C6"/>
    <w:rsid w:val="14D17473"/>
    <w:rsid w:val="14D2285A"/>
    <w:rsid w:val="14F848F0"/>
    <w:rsid w:val="151A779E"/>
    <w:rsid w:val="152D2F19"/>
    <w:rsid w:val="1533008F"/>
    <w:rsid w:val="1534078E"/>
    <w:rsid w:val="153D3401"/>
    <w:rsid w:val="155142E7"/>
    <w:rsid w:val="15855A36"/>
    <w:rsid w:val="158E06A1"/>
    <w:rsid w:val="15932B1E"/>
    <w:rsid w:val="15AF36C0"/>
    <w:rsid w:val="15CA175D"/>
    <w:rsid w:val="15D73E4B"/>
    <w:rsid w:val="15EE7CEF"/>
    <w:rsid w:val="15F35395"/>
    <w:rsid w:val="160D691C"/>
    <w:rsid w:val="16177449"/>
    <w:rsid w:val="162163A6"/>
    <w:rsid w:val="16333435"/>
    <w:rsid w:val="16391530"/>
    <w:rsid w:val="16550678"/>
    <w:rsid w:val="166C136C"/>
    <w:rsid w:val="166C3FF5"/>
    <w:rsid w:val="168C0198"/>
    <w:rsid w:val="168C1346"/>
    <w:rsid w:val="16BF7EF1"/>
    <w:rsid w:val="16C6539F"/>
    <w:rsid w:val="16C83962"/>
    <w:rsid w:val="16ED23AA"/>
    <w:rsid w:val="16FB6D9B"/>
    <w:rsid w:val="16FD7146"/>
    <w:rsid w:val="17195883"/>
    <w:rsid w:val="173E2364"/>
    <w:rsid w:val="173E4E07"/>
    <w:rsid w:val="17443FC5"/>
    <w:rsid w:val="174C42DB"/>
    <w:rsid w:val="1761710C"/>
    <w:rsid w:val="17812612"/>
    <w:rsid w:val="1789592C"/>
    <w:rsid w:val="17933C9F"/>
    <w:rsid w:val="17B13E29"/>
    <w:rsid w:val="17D67A38"/>
    <w:rsid w:val="17DB1463"/>
    <w:rsid w:val="17E97C5D"/>
    <w:rsid w:val="17ED5B45"/>
    <w:rsid w:val="18260DD1"/>
    <w:rsid w:val="182656C2"/>
    <w:rsid w:val="182E7A85"/>
    <w:rsid w:val="18303541"/>
    <w:rsid w:val="183735E3"/>
    <w:rsid w:val="18485D36"/>
    <w:rsid w:val="18744310"/>
    <w:rsid w:val="189F530B"/>
    <w:rsid w:val="18A12DFD"/>
    <w:rsid w:val="18A922F3"/>
    <w:rsid w:val="18B137E8"/>
    <w:rsid w:val="18BB2661"/>
    <w:rsid w:val="18D46399"/>
    <w:rsid w:val="18D53478"/>
    <w:rsid w:val="18F56002"/>
    <w:rsid w:val="192F50C9"/>
    <w:rsid w:val="193979AC"/>
    <w:rsid w:val="19633F03"/>
    <w:rsid w:val="196F047E"/>
    <w:rsid w:val="19943641"/>
    <w:rsid w:val="199E02FC"/>
    <w:rsid w:val="19BA1CE3"/>
    <w:rsid w:val="19C332D1"/>
    <w:rsid w:val="19DF55C2"/>
    <w:rsid w:val="1A0C61A8"/>
    <w:rsid w:val="1A132F57"/>
    <w:rsid w:val="1A1B5DE5"/>
    <w:rsid w:val="1A300E03"/>
    <w:rsid w:val="1A5F760F"/>
    <w:rsid w:val="1A6E5071"/>
    <w:rsid w:val="1A6F3E95"/>
    <w:rsid w:val="1A6F6E85"/>
    <w:rsid w:val="1AA938E9"/>
    <w:rsid w:val="1AD11A1D"/>
    <w:rsid w:val="1AD22ED2"/>
    <w:rsid w:val="1AD51B88"/>
    <w:rsid w:val="1B2058A0"/>
    <w:rsid w:val="1B2760D7"/>
    <w:rsid w:val="1B2D037E"/>
    <w:rsid w:val="1B566A66"/>
    <w:rsid w:val="1B6610FC"/>
    <w:rsid w:val="1B721452"/>
    <w:rsid w:val="1B8565CF"/>
    <w:rsid w:val="1B9104B0"/>
    <w:rsid w:val="1BA96293"/>
    <w:rsid w:val="1BAC363D"/>
    <w:rsid w:val="1BD60F79"/>
    <w:rsid w:val="1C075926"/>
    <w:rsid w:val="1C0C60A0"/>
    <w:rsid w:val="1C261B3D"/>
    <w:rsid w:val="1C2A710A"/>
    <w:rsid w:val="1C41527E"/>
    <w:rsid w:val="1C49412F"/>
    <w:rsid w:val="1C4D3DCD"/>
    <w:rsid w:val="1C4F5FC4"/>
    <w:rsid w:val="1C64078D"/>
    <w:rsid w:val="1C81524F"/>
    <w:rsid w:val="1CA121A3"/>
    <w:rsid w:val="1CB64206"/>
    <w:rsid w:val="1CDF257F"/>
    <w:rsid w:val="1CE40841"/>
    <w:rsid w:val="1CEE540F"/>
    <w:rsid w:val="1CEF248A"/>
    <w:rsid w:val="1CF405AE"/>
    <w:rsid w:val="1CFB22F4"/>
    <w:rsid w:val="1D014450"/>
    <w:rsid w:val="1D2131AC"/>
    <w:rsid w:val="1D2A2C86"/>
    <w:rsid w:val="1D2A6659"/>
    <w:rsid w:val="1D41310E"/>
    <w:rsid w:val="1D426DC5"/>
    <w:rsid w:val="1D4377C2"/>
    <w:rsid w:val="1D54682E"/>
    <w:rsid w:val="1D575B51"/>
    <w:rsid w:val="1D83301E"/>
    <w:rsid w:val="1D836FC7"/>
    <w:rsid w:val="1D8F1CB8"/>
    <w:rsid w:val="1D90522F"/>
    <w:rsid w:val="1D956BB8"/>
    <w:rsid w:val="1D9F4A19"/>
    <w:rsid w:val="1DA05599"/>
    <w:rsid w:val="1DAB519B"/>
    <w:rsid w:val="1DC65420"/>
    <w:rsid w:val="1DC94DC3"/>
    <w:rsid w:val="1DD04ECF"/>
    <w:rsid w:val="1E0649A4"/>
    <w:rsid w:val="1E114F52"/>
    <w:rsid w:val="1E144E53"/>
    <w:rsid w:val="1E154A8B"/>
    <w:rsid w:val="1E474E6F"/>
    <w:rsid w:val="1E6843C7"/>
    <w:rsid w:val="1E84688B"/>
    <w:rsid w:val="1EA60FCA"/>
    <w:rsid w:val="1EA87417"/>
    <w:rsid w:val="1EB726E7"/>
    <w:rsid w:val="1ED63AA6"/>
    <w:rsid w:val="1ED70A99"/>
    <w:rsid w:val="1EEE7042"/>
    <w:rsid w:val="1EFF4E59"/>
    <w:rsid w:val="1F35766F"/>
    <w:rsid w:val="1F65672E"/>
    <w:rsid w:val="1F6B4880"/>
    <w:rsid w:val="1F6D18D3"/>
    <w:rsid w:val="1F7222CF"/>
    <w:rsid w:val="1F7B6C8B"/>
    <w:rsid w:val="1F855EC8"/>
    <w:rsid w:val="1F865B87"/>
    <w:rsid w:val="1F8D0E35"/>
    <w:rsid w:val="1F953961"/>
    <w:rsid w:val="1FB611E4"/>
    <w:rsid w:val="1FBA2E91"/>
    <w:rsid w:val="1FBB33C8"/>
    <w:rsid w:val="1FC02D54"/>
    <w:rsid w:val="1FD92D82"/>
    <w:rsid w:val="1FDA288F"/>
    <w:rsid w:val="1FEE1F52"/>
    <w:rsid w:val="20014799"/>
    <w:rsid w:val="207471CF"/>
    <w:rsid w:val="208E288A"/>
    <w:rsid w:val="20950348"/>
    <w:rsid w:val="20981E88"/>
    <w:rsid w:val="20A04C9E"/>
    <w:rsid w:val="20A06A24"/>
    <w:rsid w:val="20A10137"/>
    <w:rsid w:val="20A76189"/>
    <w:rsid w:val="20AF011F"/>
    <w:rsid w:val="20B91C70"/>
    <w:rsid w:val="20B97750"/>
    <w:rsid w:val="20BD2343"/>
    <w:rsid w:val="20C04A0E"/>
    <w:rsid w:val="20C125E5"/>
    <w:rsid w:val="20F77EBA"/>
    <w:rsid w:val="20FE0571"/>
    <w:rsid w:val="21040EE9"/>
    <w:rsid w:val="212F48FD"/>
    <w:rsid w:val="21417B95"/>
    <w:rsid w:val="21592DC8"/>
    <w:rsid w:val="216135E4"/>
    <w:rsid w:val="217012FB"/>
    <w:rsid w:val="21701F90"/>
    <w:rsid w:val="218E60D2"/>
    <w:rsid w:val="21B23C30"/>
    <w:rsid w:val="21D5663A"/>
    <w:rsid w:val="21FF37BF"/>
    <w:rsid w:val="220D5F91"/>
    <w:rsid w:val="220F017A"/>
    <w:rsid w:val="223A4047"/>
    <w:rsid w:val="223D6488"/>
    <w:rsid w:val="224F423C"/>
    <w:rsid w:val="225418B2"/>
    <w:rsid w:val="22545A75"/>
    <w:rsid w:val="22590C76"/>
    <w:rsid w:val="227710AB"/>
    <w:rsid w:val="22857CBD"/>
    <w:rsid w:val="22886A77"/>
    <w:rsid w:val="229B4E78"/>
    <w:rsid w:val="22C77F82"/>
    <w:rsid w:val="22E50F21"/>
    <w:rsid w:val="22F562BD"/>
    <w:rsid w:val="2302130E"/>
    <w:rsid w:val="23054BAA"/>
    <w:rsid w:val="231C3AC6"/>
    <w:rsid w:val="23261385"/>
    <w:rsid w:val="233970A1"/>
    <w:rsid w:val="238351E7"/>
    <w:rsid w:val="2390118C"/>
    <w:rsid w:val="239A7798"/>
    <w:rsid w:val="23A33225"/>
    <w:rsid w:val="23A3458B"/>
    <w:rsid w:val="23A83880"/>
    <w:rsid w:val="23AC3B0D"/>
    <w:rsid w:val="23AC7B00"/>
    <w:rsid w:val="23AE3EA4"/>
    <w:rsid w:val="23BD797B"/>
    <w:rsid w:val="23CC13DF"/>
    <w:rsid w:val="23D12C31"/>
    <w:rsid w:val="241374BB"/>
    <w:rsid w:val="24180AE3"/>
    <w:rsid w:val="241C0641"/>
    <w:rsid w:val="24210897"/>
    <w:rsid w:val="242E0AC8"/>
    <w:rsid w:val="24474E0A"/>
    <w:rsid w:val="244E4AD0"/>
    <w:rsid w:val="245F2A83"/>
    <w:rsid w:val="246B4679"/>
    <w:rsid w:val="248A767B"/>
    <w:rsid w:val="249900C5"/>
    <w:rsid w:val="24990154"/>
    <w:rsid w:val="24BF7D42"/>
    <w:rsid w:val="24E55BAC"/>
    <w:rsid w:val="254479BB"/>
    <w:rsid w:val="255D2F2A"/>
    <w:rsid w:val="256C5A3D"/>
    <w:rsid w:val="257963F1"/>
    <w:rsid w:val="257D2B89"/>
    <w:rsid w:val="25A7402B"/>
    <w:rsid w:val="25B610B2"/>
    <w:rsid w:val="25D966A6"/>
    <w:rsid w:val="25FE15DC"/>
    <w:rsid w:val="26272FA3"/>
    <w:rsid w:val="262A13F0"/>
    <w:rsid w:val="26320A21"/>
    <w:rsid w:val="264B50BF"/>
    <w:rsid w:val="26571428"/>
    <w:rsid w:val="26653EC4"/>
    <w:rsid w:val="26806C09"/>
    <w:rsid w:val="26863962"/>
    <w:rsid w:val="268F15B2"/>
    <w:rsid w:val="26983FA4"/>
    <w:rsid w:val="26FA6E39"/>
    <w:rsid w:val="271E4603"/>
    <w:rsid w:val="272342DC"/>
    <w:rsid w:val="27264DFC"/>
    <w:rsid w:val="272A0710"/>
    <w:rsid w:val="272A0E33"/>
    <w:rsid w:val="273B2998"/>
    <w:rsid w:val="27555997"/>
    <w:rsid w:val="276E4B45"/>
    <w:rsid w:val="27714744"/>
    <w:rsid w:val="277E0E1B"/>
    <w:rsid w:val="27C13C20"/>
    <w:rsid w:val="27CA6CFF"/>
    <w:rsid w:val="27E47883"/>
    <w:rsid w:val="27EA0124"/>
    <w:rsid w:val="27EE1E60"/>
    <w:rsid w:val="2807271F"/>
    <w:rsid w:val="28120519"/>
    <w:rsid w:val="281327C3"/>
    <w:rsid w:val="28195AAE"/>
    <w:rsid w:val="282A4AC4"/>
    <w:rsid w:val="282C3B61"/>
    <w:rsid w:val="28323569"/>
    <w:rsid w:val="28326E12"/>
    <w:rsid w:val="28504863"/>
    <w:rsid w:val="28674296"/>
    <w:rsid w:val="287013AF"/>
    <w:rsid w:val="28856053"/>
    <w:rsid w:val="288D37FB"/>
    <w:rsid w:val="28934004"/>
    <w:rsid w:val="28943CBF"/>
    <w:rsid w:val="28B9246E"/>
    <w:rsid w:val="28E96526"/>
    <w:rsid w:val="28F77A34"/>
    <w:rsid w:val="28FB2B17"/>
    <w:rsid w:val="2905469E"/>
    <w:rsid w:val="29213FAC"/>
    <w:rsid w:val="294019F3"/>
    <w:rsid w:val="295C30A0"/>
    <w:rsid w:val="295F6F3A"/>
    <w:rsid w:val="2978542E"/>
    <w:rsid w:val="298168E8"/>
    <w:rsid w:val="298760C9"/>
    <w:rsid w:val="29880DC9"/>
    <w:rsid w:val="299658C8"/>
    <w:rsid w:val="29C74336"/>
    <w:rsid w:val="29DF7543"/>
    <w:rsid w:val="29FF6BE7"/>
    <w:rsid w:val="2A0C4705"/>
    <w:rsid w:val="2A104C01"/>
    <w:rsid w:val="2A2219FF"/>
    <w:rsid w:val="2A2649D3"/>
    <w:rsid w:val="2A2F0453"/>
    <w:rsid w:val="2A375CB0"/>
    <w:rsid w:val="2A4F7A8E"/>
    <w:rsid w:val="2A5C693A"/>
    <w:rsid w:val="2A636B36"/>
    <w:rsid w:val="2A77236D"/>
    <w:rsid w:val="2A783A41"/>
    <w:rsid w:val="2A7C052B"/>
    <w:rsid w:val="2A9D1044"/>
    <w:rsid w:val="2AA14EFF"/>
    <w:rsid w:val="2AC52B69"/>
    <w:rsid w:val="2AD66957"/>
    <w:rsid w:val="2AE42B9F"/>
    <w:rsid w:val="2AFA4FF0"/>
    <w:rsid w:val="2AFF35D3"/>
    <w:rsid w:val="2B0A651F"/>
    <w:rsid w:val="2B132D50"/>
    <w:rsid w:val="2B17347C"/>
    <w:rsid w:val="2B4604CF"/>
    <w:rsid w:val="2B4D3342"/>
    <w:rsid w:val="2B6076B4"/>
    <w:rsid w:val="2B617D56"/>
    <w:rsid w:val="2B631EFF"/>
    <w:rsid w:val="2B63222A"/>
    <w:rsid w:val="2B69017C"/>
    <w:rsid w:val="2B6E542D"/>
    <w:rsid w:val="2B9A1AC8"/>
    <w:rsid w:val="2BAC408F"/>
    <w:rsid w:val="2BDD0A2E"/>
    <w:rsid w:val="2BE45A54"/>
    <w:rsid w:val="2BEB27E3"/>
    <w:rsid w:val="2BEB2E9D"/>
    <w:rsid w:val="2BF61207"/>
    <w:rsid w:val="2C0E18F4"/>
    <w:rsid w:val="2C1713D1"/>
    <w:rsid w:val="2C250D85"/>
    <w:rsid w:val="2C2B5431"/>
    <w:rsid w:val="2C2E6F83"/>
    <w:rsid w:val="2C4F56E2"/>
    <w:rsid w:val="2C620007"/>
    <w:rsid w:val="2C784809"/>
    <w:rsid w:val="2CA8063D"/>
    <w:rsid w:val="2CD367CC"/>
    <w:rsid w:val="2CDD2B9E"/>
    <w:rsid w:val="2D09394F"/>
    <w:rsid w:val="2D1C132F"/>
    <w:rsid w:val="2D51298D"/>
    <w:rsid w:val="2D6345E9"/>
    <w:rsid w:val="2D7E4209"/>
    <w:rsid w:val="2D9B288E"/>
    <w:rsid w:val="2DBD42B5"/>
    <w:rsid w:val="2DC40D07"/>
    <w:rsid w:val="2DCB5DC1"/>
    <w:rsid w:val="2DCE5309"/>
    <w:rsid w:val="2DE2242A"/>
    <w:rsid w:val="2E4225F7"/>
    <w:rsid w:val="2E463849"/>
    <w:rsid w:val="2E5A5340"/>
    <w:rsid w:val="2E6E73D5"/>
    <w:rsid w:val="2E81141D"/>
    <w:rsid w:val="2E9A7ADA"/>
    <w:rsid w:val="2EC2396D"/>
    <w:rsid w:val="2EF80558"/>
    <w:rsid w:val="2F1B0798"/>
    <w:rsid w:val="2F4F0438"/>
    <w:rsid w:val="2F506BFB"/>
    <w:rsid w:val="2F590507"/>
    <w:rsid w:val="2F792957"/>
    <w:rsid w:val="2F7E2CC0"/>
    <w:rsid w:val="2F871ABC"/>
    <w:rsid w:val="2F871C2D"/>
    <w:rsid w:val="2F921764"/>
    <w:rsid w:val="2F963509"/>
    <w:rsid w:val="2F98405A"/>
    <w:rsid w:val="2FA276F4"/>
    <w:rsid w:val="2FA774C5"/>
    <w:rsid w:val="2FAF32EB"/>
    <w:rsid w:val="2FD11EB8"/>
    <w:rsid w:val="2FE1749B"/>
    <w:rsid w:val="303606F3"/>
    <w:rsid w:val="303D5772"/>
    <w:rsid w:val="303E2207"/>
    <w:rsid w:val="30533443"/>
    <w:rsid w:val="306E40F7"/>
    <w:rsid w:val="306F4499"/>
    <w:rsid w:val="30B15581"/>
    <w:rsid w:val="30B32EF2"/>
    <w:rsid w:val="30B93848"/>
    <w:rsid w:val="30BB37BA"/>
    <w:rsid w:val="30BE1DE8"/>
    <w:rsid w:val="31025D02"/>
    <w:rsid w:val="310B75DF"/>
    <w:rsid w:val="31253510"/>
    <w:rsid w:val="313177AD"/>
    <w:rsid w:val="31341EAD"/>
    <w:rsid w:val="313712DD"/>
    <w:rsid w:val="31423CC5"/>
    <w:rsid w:val="31552F50"/>
    <w:rsid w:val="3157256E"/>
    <w:rsid w:val="3160159B"/>
    <w:rsid w:val="316102EA"/>
    <w:rsid w:val="31665B97"/>
    <w:rsid w:val="31711EF3"/>
    <w:rsid w:val="31854B7E"/>
    <w:rsid w:val="31BD562D"/>
    <w:rsid w:val="31E86EE4"/>
    <w:rsid w:val="31F00167"/>
    <w:rsid w:val="31FD6157"/>
    <w:rsid w:val="320E29DF"/>
    <w:rsid w:val="32171B71"/>
    <w:rsid w:val="322B53E9"/>
    <w:rsid w:val="32915ABA"/>
    <w:rsid w:val="329C1497"/>
    <w:rsid w:val="32B20E2F"/>
    <w:rsid w:val="32CF0C9F"/>
    <w:rsid w:val="32D72576"/>
    <w:rsid w:val="32D93319"/>
    <w:rsid w:val="32E04086"/>
    <w:rsid w:val="32E31ADC"/>
    <w:rsid w:val="32EC35DF"/>
    <w:rsid w:val="32F96A45"/>
    <w:rsid w:val="330D0307"/>
    <w:rsid w:val="330E1609"/>
    <w:rsid w:val="331D384C"/>
    <w:rsid w:val="332C3D97"/>
    <w:rsid w:val="3360351F"/>
    <w:rsid w:val="33620CB2"/>
    <w:rsid w:val="33777078"/>
    <w:rsid w:val="33B17CDB"/>
    <w:rsid w:val="33E04B57"/>
    <w:rsid w:val="33F627C9"/>
    <w:rsid w:val="33FA7456"/>
    <w:rsid w:val="34024883"/>
    <w:rsid w:val="342C6E98"/>
    <w:rsid w:val="344F7140"/>
    <w:rsid w:val="34586FDF"/>
    <w:rsid w:val="34714E70"/>
    <w:rsid w:val="34755DB1"/>
    <w:rsid w:val="34805B3D"/>
    <w:rsid w:val="34935876"/>
    <w:rsid w:val="349E0FB2"/>
    <w:rsid w:val="34A96A1A"/>
    <w:rsid w:val="34B370D1"/>
    <w:rsid w:val="34CA52FD"/>
    <w:rsid w:val="34E622D6"/>
    <w:rsid w:val="34E97C37"/>
    <w:rsid w:val="35073B82"/>
    <w:rsid w:val="3518700F"/>
    <w:rsid w:val="352F2FF3"/>
    <w:rsid w:val="35375748"/>
    <w:rsid w:val="35486C73"/>
    <w:rsid w:val="35615290"/>
    <w:rsid w:val="359E09BB"/>
    <w:rsid w:val="35C556EC"/>
    <w:rsid w:val="361517C9"/>
    <w:rsid w:val="361A4DE1"/>
    <w:rsid w:val="361D6F93"/>
    <w:rsid w:val="361F592F"/>
    <w:rsid w:val="362F79EA"/>
    <w:rsid w:val="36516B14"/>
    <w:rsid w:val="36556C85"/>
    <w:rsid w:val="365B1C96"/>
    <w:rsid w:val="36603459"/>
    <w:rsid w:val="366D2C19"/>
    <w:rsid w:val="367252A6"/>
    <w:rsid w:val="3675230B"/>
    <w:rsid w:val="36766F5C"/>
    <w:rsid w:val="36777C43"/>
    <w:rsid w:val="367E7A3F"/>
    <w:rsid w:val="369B5EAA"/>
    <w:rsid w:val="36C1347A"/>
    <w:rsid w:val="36C31B41"/>
    <w:rsid w:val="36C532A1"/>
    <w:rsid w:val="36CE234D"/>
    <w:rsid w:val="36D347D3"/>
    <w:rsid w:val="36DA50A9"/>
    <w:rsid w:val="36F46372"/>
    <w:rsid w:val="370728A6"/>
    <w:rsid w:val="370B7ABB"/>
    <w:rsid w:val="372F4949"/>
    <w:rsid w:val="3736228A"/>
    <w:rsid w:val="37671725"/>
    <w:rsid w:val="376F122C"/>
    <w:rsid w:val="37732570"/>
    <w:rsid w:val="3798526A"/>
    <w:rsid w:val="37B72EB1"/>
    <w:rsid w:val="37C1607A"/>
    <w:rsid w:val="37C42A0D"/>
    <w:rsid w:val="37C806F3"/>
    <w:rsid w:val="37C85C3C"/>
    <w:rsid w:val="37CF1603"/>
    <w:rsid w:val="383A7E5E"/>
    <w:rsid w:val="38585500"/>
    <w:rsid w:val="385D1C71"/>
    <w:rsid w:val="386038B3"/>
    <w:rsid w:val="38684A38"/>
    <w:rsid w:val="388E1434"/>
    <w:rsid w:val="38BA5460"/>
    <w:rsid w:val="38C62FF5"/>
    <w:rsid w:val="38D62476"/>
    <w:rsid w:val="38E27127"/>
    <w:rsid w:val="39027E88"/>
    <w:rsid w:val="390667A8"/>
    <w:rsid w:val="39075875"/>
    <w:rsid w:val="391904A1"/>
    <w:rsid w:val="391C718D"/>
    <w:rsid w:val="394D30B0"/>
    <w:rsid w:val="394F6067"/>
    <w:rsid w:val="395C607A"/>
    <w:rsid w:val="39624091"/>
    <w:rsid w:val="397A17A6"/>
    <w:rsid w:val="397C6037"/>
    <w:rsid w:val="398A754D"/>
    <w:rsid w:val="39AD5B4E"/>
    <w:rsid w:val="39D43B66"/>
    <w:rsid w:val="39EC03FA"/>
    <w:rsid w:val="3A1D058F"/>
    <w:rsid w:val="3A1E303B"/>
    <w:rsid w:val="3A1F74C9"/>
    <w:rsid w:val="3A2A1F54"/>
    <w:rsid w:val="3A2D40D1"/>
    <w:rsid w:val="3A314B02"/>
    <w:rsid w:val="3A5C2602"/>
    <w:rsid w:val="3A79657B"/>
    <w:rsid w:val="3A8B77C7"/>
    <w:rsid w:val="3A8F7DE5"/>
    <w:rsid w:val="3A9A32EA"/>
    <w:rsid w:val="3ACD391F"/>
    <w:rsid w:val="3AD34FAD"/>
    <w:rsid w:val="3AE07990"/>
    <w:rsid w:val="3B026D00"/>
    <w:rsid w:val="3B08317B"/>
    <w:rsid w:val="3B1471CB"/>
    <w:rsid w:val="3B3836C7"/>
    <w:rsid w:val="3B5129DA"/>
    <w:rsid w:val="3B5F2B46"/>
    <w:rsid w:val="3B655681"/>
    <w:rsid w:val="3B6C4553"/>
    <w:rsid w:val="3B6F3ABC"/>
    <w:rsid w:val="3B7527F4"/>
    <w:rsid w:val="3B7754EB"/>
    <w:rsid w:val="3B820DE6"/>
    <w:rsid w:val="3BAA143A"/>
    <w:rsid w:val="3BAC7D85"/>
    <w:rsid w:val="3BC378A6"/>
    <w:rsid w:val="3BDC08FD"/>
    <w:rsid w:val="3BE42ECD"/>
    <w:rsid w:val="3BF515B8"/>
    <w:rsid w:val="3BFE1CAB"/>
    <w:rsid w:val="3C011D0B"/>
    <w:rsid w:val="3C10260E"/>
    <w:rsid w:val="3C1349A2"/>
    <w:rsid w:val="3C274A05"/>
    <w:rsid w:val="3C43437F"/>
    <w:rsid w:val="3C4F746D"/>
    <w:rsid w:val="3C6A66D6"/>
    <w:rsid w:val="3C7511AE"/>
    <w:rsid w:val="3CA977D2"/>
    <w:rsid w:val="3CBF0958"/>
    <w:rsid w:val="3CC316B6"/>
    <w:rsid w:val="3CC733AF"/>
    <w:rsid w:val="3CCB1880"/>
    <w:rsid w:val="3CD72551"/>
    <w:rsid w:val="3CF76813"/>
    <w:rsid w:val="3CFC6063"/>
    <w:rsid w:val="3D006466"/>
    <w:rsid w:val="3D1319B5"/>
    <w:rsid w:val="3D260CA6"/>
    <w:rsid w:val="3D520CCB"/>
    <w:rsid w:val="3D5C6974"/>
    <w:rsid w:val="3D5D3A32"/>
    <w:rsid w:val="3D6678B0"/>
    <w:rsid w:val="3D6F2940"/>
    <w:rsid w:val="3D772181"/>
    <w:rsid w:val="3D823D30"/>
    <w:rsid w:val="3DB66B25"/>
    <w:rsid w:val="3DCE6FB3"/>
    <w:rsid w:val="3DD16176"/>
    <w:rsid w:val="3DF53AF1"/>
    <w:rsid w:val="3E104E3F"/>
    <w:rsid w:val="3E1D6E9C"/>
    <w:rsid w:val="3E4A1BED"/>
    <w:rsid w:val="3E4A4DBA"/>
    <w:rsid w:val="3E611186"/>
    <w:rsid w:val="3E662345"/>
    <w:rsid w:val="3E82228B"/>
    <w:rsid w:val="3E8242C1"/>
    <w:rsid w:val="3EB33AF3"/>
    <w:rsid w:val="3EEA62D8"/>
    <w:rsid w:val="3EF41C77"/>
    <w:rsid w:val="3EF64113"/>
    <w:rsid w:val="3EFD0DF6"/>
    <w:rsid w:val="3EFE49C6"/>
    <w:rsid w:val="3F0A5B5C"/>
    <w:rsid w:val="3F1A0890"/>
    <w:rsid w:val="3F307FAC"/>
    <w:rsid w:val="3F3F5846"/>
    <w:rsid w:val="3F5A2237"/>
    <w:rsid w:val="3F5B7984"/>
    <w:rsid w:val="3F71500B"/>
    <w:rsid w:val="3F7B33F8"/>
    <w:rsid w:val="3F801023"/>
    <w:rsid w:val="3F8064EB"/>
    <w:rsid w:val="3F950FB5"/>
    <w:rsid w:val="3F982DCA"/>
    <w:rsid w:val="3FA05CDE"/>
    <w:rsid w:val="3FCB5632"/>
    <w:rsid w:val="3FD12D26"/>
    <w:rsid w:val="3FDE4917"/>
    <w:rsid w:val="3FE2412F"/>
    <w:rsid w:val="402F3ADF"/>
    <w:rsid w:val="40306F5A"/>
    <w:rsid w:val="40476BB3"/>
    <w:rsid w:val="40546FB6"/>
    <w:rsid w:val="40554803"/>
    <w:rsid w:val="407A60D5"/>
    <w:rsid w:val="407D4F24"/>
    <w:rsid w:val="40961808"/>
    <w:rsid w:val="409C46F8"/>
    <w:rsid w:val="40AB4DEE"/>
    <w:rsid w:val="40B96D7E"/>
    <w:rsid w:val="40D24BBE"/>
    <w:rsid w:val="40DB1852"/>
    <w:rsid w:val="40EC4043"/>
    <w:rsid w:val="40FA2C7F"/>
    <w:rsid w:val="410F0906"/>
    <w:rsid w:val="41166469"/>
    <w:rsid w:val="412008E0"/>
    <w:rsid w:val="413A6D3B"/>
    <w:rsid w:val="41515AC7"/>
    <w:rsid w:val="41635215"/>
    <w:rsid w:val="41772210"/>
    <w:rsid w:val="41902B9F"/>
    <w:rsid w:val="41C02331"/>
    <w:rsid w:val="41C13A63"/>
    <w:rsid w:val="41C67037"/>
    <w:rsid w:val="41D229E1"/>
    <w:rsid w:val="41E576AF"/>
    <w:rsid w:val="41EC6E94"/>
    <w:rsid w:val="41F72149"/>
    <w:rsid w:val="420267DC"/>
    <w:rsid w:val="42123141"/>
    <w:rsid w:val="4228585D"/>
    <w:rsid w:val="42415ACC"/>
    <w:rsid w:val="425360DC"/>
    <w:rsid w:val="427D539F"/>
    <w:rsid w:val="428B450A"/>
    <w:rsid w:val="42991E30"/>
    <w:rsid w:val="42CC19F4"/>
    <w:rsid w:val="42CE0B28"/>
    <w:rsid w:val="42CF6367"/>
    <w:rsid w:val="42D36FBC"/>
    <w:rsid w:val="42DE1CCC"/>
    <w:rsid w:val="4308546B"/>
    <w:rsid w:val="431D6890"/>
    <w:rsid w:val="43263445"/>
    <w:rsid w:val="434157E3"/>
    <w:rsid w:val="43494860"/>
    <w:rsid w:val="434D380E"/>
    <w:rsid w:val="43934189"/>
    <w:rsid w:val="439D4850"/>
    <w:rsid w:val="43A15B81"/>
    <w:rsid w:val="43C27232"/>
    <w:rsid w:val="43EC5186"/>
    <w:rsid w:val="43ED069F"/>
    <w:rsid w:val="442A6E5A"/>
    <w:rsid w:val="44356E29"/>
    <w:rsid w:val="443F68DF"/>
    <w:rsid w:val="445C4B8F"/>
    <w:rsid w:val="447C2A1B"/>
    <w:rsid w:val="447F5CBE"/>
    <w:rsid w:val="44833851"/>
    <w:rsid w:val="44982752"/>
    <w:rsid w:val="44BF59D3"/>
    <w:rsid w:val="44BF6F86"/>
    <w:rsid w:val="44C45031"/>
    <w:rsid w:val="44D53AB2"/>
    <w:rsid w:val="44DA00B4"/>
    <w:rsid w:val="44F27B0D"/>
    <w:rsid w:val="44F51B06"/>
    <w:rsid w:val="44FF6E0B"/>
    <w:rsid w:val="45151583"/>
    <w:rsid w:val="45174CA4"/>
    <w:rsid w:val="45485BDE"/>
    <w:rsid w:val="457D4A3F"/>
    <w:rsid w:val="458571EC"/>
    <w:rsid w:val="45945C30"/>
    <w:rsid w:val="459F2306"/>
    <w:rsid w:val="45A20DE9"/>
    <w:rsid w:val="45A32084"/>
    <w:rsid w:val="45A832FE"/>
    <w:rsid w:val="45AB6174"/>
    <w:rsid w:val="45BA63E5"/>
    <w:rsid w:val="45CC5EDC"/>
    <w:rsid w:val="45CF584F"/>
    <w:rsid w:val="45F6791E"/>
    <w:rsid w:val="45F73D47"/>
    <w:rsid w:val="462D2575"/>
    <w:rsid w:val="46467FD8"/>
    <w:rsid w:val="46601D33"/>
    <w:rsid w:val="4666746C"/>
    <w:rsid w:val="467505FA"/>
    <w:rsid w:val="467B6008"/>
    <w:rsid w:val="468720BA"/>
    <w:rsid w:val="46895AFC"/>
    <w:rsid w:val="468C48C7"/>
    <w:rsid w:val="468E6A9E"/>
    <w:rsid w:val="46AF0597"/>
    <w:rsid w:val="46BC623F"/>
    <w:rsid w:val="46C2478C"/>
    <w:rsid w:val="46D855B9"/>
    <w:rsid w:val="470D2C74"/>
    <w:rsid w:val="47176AEE"/>
    <w:rsid w:val="47236E19"/>
    <w:rsid w:val="47300AA9"/>
    <w:rsid w:val="477570F1"/>
    <w:rsid w:val="4798342E"/>
    <w:rsid w:val="47AD33FA"/>
    <w:rsid w:val="47B41AAA"/>
    <w:rsid w:val="47B9631D"/>
    <w:rsid w:val="47CD38AD"/>
    <w:rsid w:val="47DB16D8"/>
    <w:rsid w:val="481726F3"/>
    <w:rsid w:val="48292C01"/>
    <w:rsid w:val="483B0101"/>
    <w:rsid w:val="48416760"/>
    <w:rsid w:val="48453BB6"/>
    <w:rsid w:val="48466F81"/>
    <w:rsid w:val="484D02A2"/>
    <w:rsid w:val="486B647A"/>
    <w:rsid w:val="48896934"/>
    <w:rsid w:val="48981AD3"/>
    <w:rsid w:val="489B48B9"/>
    <w:rsid w:val="48C12AEC"/>
    <w:rsid w:val="48C43662"/>
    <w:rsid w:val="48CD489A"/>
    <w:rsid w:val="48D072A1"/>
    <w:rsid w:val="48D1341D"/>
    <w:rsid w:val="48D63F90"/>
    <w:rsid w:val="48E0279A"/>
    <w:rsid w:val="48E64C8E"/>
    <w:rsid w:val="48EC7724"/>
    <w:rsid w:val="48FA7B87"/>
    <w:rsid w:val="49023E07"/>
    <w:rsid w:val="4919356E"/>
    <w:rsid w:val="492A7740"/>
    <w:rsid w:val="49300AA7"/>
    <w:rsid w:val="49391CB0"/>
    <w:rsid w:val="493C3A20"/>
    <w:rsid w:val="49401E21"/>
    <w:rsid w:val="494C4B90"/>
    <w:rsid w:val="494D7C6B"/>
    <w:rsid w:val="49526EB9"/>
    <w:rsid w:val="49684311"/>
    <w:rsid w:val="496D00AD"/>
    <w:rsid w:val="49742114"/>
    <w:rsid w:val="49754CB4"/>
    <w:rsid w:val="49921F0F"/>
    <w:rsid w:val="499268AD"/>
    <w:rsid w:val="49A511F2"/>
    <w:rsid w:val="49A85EBB"/>
    <w:rsid w:val="49CE6B8E"/>
    <w:rsid w:val="49D72FF3"/>
    <w:rsid w:val="49E0102B"/>
    <w:rsid w:val="4A174DEF"/>
    <w:rsid w:val="4A2945F2"/>
    <w:rsid w:val="4A615154"/>
    <w:rsid w:val="4A7B3285"/>
    <w:rsid w:val="4A7F6A5C"/>
    <w:rsid w:val="4A844DE0"/>
    <w:rsid w:val="4A96607C"/>
    <w:rsid w:val="4AA91ED6"/>
    <w:rsid w:val="4AB92E92"/>
    <w:rsid w:val="4ABA40F8"/>
    <w:rsid w:val="4B2134B8"/>
    <w:rsid w:val="4B24233C"/>
    <w:rsid w:val="4B330A0B"/>
    <w:rsid w:val="4B3756CC"/>
    <w:rsid w:val="4B5E55F9"/>
    <w:rsid w:val="4B685D82"/>
    <w:rsid w:val="4B7122DD"/>
    <w:rsid w:val="4B7B4674"/>
    <w:rsid w:val="4B7C663B"/>
    <w:rsid w:val="4B812078"/>
    <w:rsid w:val="4BAE7A7B"/>
    <w:rsid w:val="4BE46A68"/>
    <w:rsid w:val="4BF41CDA"/>
    <w:rsid w:val="4BF71347"/>
    <w:rsid w:val="4BF97932"/>
    <w:rsid w:val="4C107D48"/>
    <w:rsid w:val="4C141E75"/>
    <w:rsid w:val="4C2A4039"/>
    <w:rsid w:val="4C736F36"/>
    <w:rsid w:val="4CAE60E3"/>
    <w:rsid w:val="4CEE1D13"/>
    <w:rsid w:val="4D032DA9"/>
    <w:rsid w:val="4D0B0C3B"/>
    <w:rsid w:val="4D0C6DBE"/>
    <w:rsid w:val="4D25615C"/>
    <w:rsid w:val="4D36054D"/>
    <w:rsid w:val="4D41137F"/>
    <w:rsid w:val="4D4D3B7A"/>
    <w:rsid w:val="4D524AEA"/>
    <w:rsid w:val="4D5724F7"/>
    <w:rsid w:val="4D757452"/>
    <w:rsid w:val="4D893DD3"/>
    <w:rsid w:val="4D8C3F82"/>
    <w:rsid w:val="4DBC14B8"/>
    <w:rsid w:val="4DD2298C"/>
    <w:rsid w:val="4DE936C7"/>
    <w:rsid w:val="4DF23555"/>
    <w:rsid w:val="4E050D4C"/>
    <w:rsid w:val="4E06569E"/>
    <w:rsid w:val="4E093792"/>
    <w:rsid w:val="4E173610"/>
    <w:rsid w:val="4E1D26B7"/>
    <w:rsid w:val="4E1D3A0D"/>
    <w:rsid w:val="4E1F052C"/>
    <w:rsid w:val="4E255D2C"/>
    <w:rsid w:val="4E313DB6"/>
    <w:rsid w:val="4E451D41"/>
    <w:rsid w:val="4E7A454C"/>
    <w:rsid w:val="4E820B4C"/>
    <w:rsid w:val="4E85341C"/>
    <w:rsid w:val="4E9B7B12"/>
    <w:rsid w:val="4EC47712"/>
    <w:rsid w:val="4EDD3C61"/>
    <w:rsid w:val="4EE43E79"/>
    <w:rsid w:val="4EF1457F"/>
    <w:rsid w:val="4F1D2EA8"/>
    <w:rsid w:val="4F1F37D5"/>
    <w:rsid w:val="4F2C40A0"/>
    <w:rsid w:val="4F2F3B98"/>
    <w:rsid w:val="4F316154"/>
    <w:rsid w:val="4F380B7A"/>
    <w:rsid w:val="4F3B41ED"/>
    <w:rsid w:val="4F424B82"/>
    <w:rsid w:val="4F4B0CB3"/>
    <w:rsid w:val="4F4F0EBF"/>
    <w:rsid w:val="4F586D8F"/>
    <w:rsid w:val="4F6603AB"/>
    <w:rsid w:val="4F8C4B40"/>
    <w:rsid w:val="4FAA5CD5"/>
    <w:rsid w:val="4FBD187E"/>
    <w:rsid w:val="4FC56067"/>
    <w:rsid w:val="4FD11AC0"/>
    <w:rsid w:val="4FEA4E33"/>
    <w:rsid w:val="501119C9"/>
    <w:rsid w:val="502F75EB"/>
    <w:rsid w:val="50400243"/>
    <w:rsid w:val="50494336"/>
    <w:rsid w:val="50784012"/>
    <w:rsid w:val="50813C12"/>
    <w:rsid w:val="5087463E"/>
    <w:rsid w:val="50925430"/>
    <w:rsid w:val="50A10774"/>
    <w:rsid w:val="50A11680"/>
    <w:rsid w:val="50B77550"/>
    <w:rsid w:val="50C773AE"/>
    <w:rsid w:val="50CD6602"/>
    <w:rsid w:val="50E6022F"/>
    <w:rsid w:val="50FE0AB7"/>
    <w:rsid w:val="510D0F23"/>
    <w:rsid w:val="51142088"/>
    <w:rsid w:val="51197B59"/>
    <w:rsid w:val="516105A3"/>
    <w:rsid w:val="51615030"/>
    <w:rsid w:val="51627812"/>
    <w:rsid w:val="51C136D4"/>
    <w:rsid w:val="51D33F6D"/>
    <w:rsid w:val="51DB1448"/>
    <w:rsid w:val="51F02A8E"/>
    <w:rsid w:val="52045DB4"/>
    <w:rsid w:val="522C275E"/>
    <w:rsid w:val="524C13A2"/>
    <w:rsid w:val="52720F22"/>
    <w:rsid w:val="528943B0"/>
    <w:rsid w:val="529000F6"/>
    <w:rsid w:val="5296149A"/>
    <w:rsid w:val="52A65672"/>
    <w:rsid w:val="52BA4073"/>
    <w:rsid w:val="52CA2507"/>
    <w:rsid w:val="52CD7B31"/>
    <w:rsid w:val="52D32A37"/>
    <w:rsid w:val="52D576F4"/>
    <w:rsid w:val="52DC3EA3"/>
    <w:rsid w:val="52DF170A"/>
    <w:rsid w:val="52E25B6D"/>
    <w:rsid w:val="52F362FB"/>
    <w:rsid w:val="52F4161A"/>
    <w:rsid w:val="52F965A5"/>
    <w:rsid w:val="53081AD8"/>
    <w:rsid w:val="53235275"/>
    <w:rsid w:val="53240623"/>
    <w:rsid w:val="53321C03"/>
    <w:rsid w:val="533415F9"/>
    <w:rsid w:val="534823B8"/>
    <w:rsid w:val="535657D0"/>
    <w:rsid w:val="535868CC"/>
    <w:rsid w:val="53597EDB"/>
    <w:rsid w:val="538232D9"/>
    <w:rsid w:val="538D066D"/>
    <w:rsid w:val="53934B1D"/>
    <w:rsid w:val="53A2278E"/>
    <w:rsid w:val="53CB788B"/>
    <w:rsid w:val="53CE4536"/>
    <w:rsid w:val="53E32E36"/>
    <w:rsid w:val="54203B94"/>
    <w:rsid w:val="5424233E"/>
    <w:rsid w:val="54244390"/>
    <w:rsid w:val="542A3DC2"/>
    <w:rsid w:val="542C299E"/>
    <w:rsid w:val="543527D7"/>
    <w:rsid w:val="543642C1"/>
    <w:rsid w:val="5461235D"/>
    <w:rsid w:val="54667BA2"/>
    <w:rsid w:val="546D6916"/>
    <w:rsid w:val="547E7555"/>
    <w:rsid w:val="54806F19"/>
    <w:rsid w:val="54A01FAE"/>
    <w:rsid w:val="54A478E7"/>
    <w:rsid w:val="54AC3148"/>
    <w:rsid w:val="54C0256E"/>
    <w:rsid w:val="54C334B7"/>
    <w:rsid w:val="54D4667D"/>
    <w:rsid w:val="54D55C56"/>
    <w:rsid w:val="54EC389B"/>
    <w:rsid w:val="54F847D9"/>
    <w:rsid w:val="54FC355F"/>
    <w:rsid w:val="550B72FE"/>
    <w:rsid w:val="55100F3D"/>
    <w:rsid w:val="55126190"/>
    <w:rsid w:val="551B39E5"/>
    <w:rsid w:val="552F56E3"/>
    <w:rsid w:val="555F3833"/>
    <w:rsid w:val="55667780"/>
    <w:rsid w:val="556E493A"/>
    <w:rsid w:val="55725F14"/>
    <w:rsid w:val="55941D63"/>
    <w:rsid w:val="559C0CE1"/>
    <w:rsid w:val="55B360D4"/>
    <w:rsid w:val="55B42D88"/>
    <w:rsid w:val="55D11119"/>
    <w:rsid w:val="55DB1F79"/>
    <w:rsid w:val="560A42BD"/>
    <w:rsid w:val="560C1D89"/>
    <w:rsid w:val="562C39D0"/>
    <w:rsid w:val="56353B20"/>
    <w:rsid w:val="563A6A4D"/>
    <w:rsid w:val="56443B98"/>
    <w:rsid w:val="56453A77"/>
    <w:rsid w:val="56757259"/>
    <w:rsid w:val="567804EF"/>
    <w:rsid w:val="568B7EB7"/>
    <w:rsid w:val="569C0B56"/>
    <w:rsid w:val="56BC078F"/>
    <w:rsid w:val="56CB4BCB"/>
    <w:rsid w:val="56FB75FE"/>
    <w:rsid w:val="572F42F6"/>
    <w:rsid w:val="5734700F"/>
    <w:rsid w:val="57391A95"/>
    <w:rsid w:val="573F3C9E"/>
    <w:rsid w:val="574028CB"/>
    <w:rsid w:val="574C52C4"/>
    <w:rsid w:val="575136EE"/>
    <w:rsid w:val="57526FDB"/>
    <w:rsid w:val="57572F35"/>
    <w:rsid w:val="575B33A4"/>
    <w:rsid w:val="57674A5D"/>
    <w:rsid w:val="579775E1"/>
    <w:rsid w:val="57C90530"/>
    <w:rsid w:val="57CE0836"/>
    <w:rsid w:val="582F44F7"/>
    <w:rsid w:val="58366D88"/>
    <w:rsid w:val="583F27F2"/>
    <w:rsid w:val="58455B6D"/>
    <w:rsid w:val="584D29B0"/>
    <w:rsid w:val="584F7C49"/>
    <w:rsid w:val="586425E7"/>
    <w:rsid w:val="5888302C"/>
    <w:rsid w:val="5889129A"/>
    <w:rsid w:val="58A7006A"/>
    <w:rsid w:val="58A70AE5"/>
    <w:rsid w:val="58AD528C"/>
    <w:rsid w:val="58B31955"/>
    <w:rsid w:val="58BA45A1"/>
    <w:rsid w:val="594F6915"/>
    <w:rsid w:val="59737A65"/>
    <w:rsid w:val="59842DF4"/>
    <w:rsid w:val="59947CE9"/>
    <w:rsid w:val="59A0359A"/>
    <w:rsid w:val="59A27F06"/>
    <w:rsid w:val="59E52D9A"/>
    <w:rsid w:val="5A300449"/>
    <w:rsid w:val="5A3317D1"/>
    <w:rsid w:val="5A482DEE"/>
    <w:rsid w:val="5A55295D"/>
    <w:rsid w:val="5A7E104A"/>
    <w:rsid w:val="5A8208A0"/>
    <w:rsid w:val="5A861FD5"/>
    <w:rsid w:val="5AE3253A"/>
    <w:rsid w:val="5AEA30C9"/>
    <w:rsid w:val="5AEA3475"/>
    <w:rsid w:val="5AF54C6B"/>
    <w:rsid w:val="5B087B94"/>
    <w:rsid w:val="5B0C2FBE"/>
    <w:rsid w:val="5B0E3E89"/>
    <w:rsid w:val="5B124740"/>
    <w:rsid w:val="5B31434D"/>
    <w:rsid w:val="5B3A10B7"/>
    <w:rsid w:val="5B3F60FF"/>
    <w:rsid w:val="5B3F66E7"/>
    <w:rsid w:val="5B4724F1"/>
    <w:rsid w:val="5B872AE6"/>
    <w:rsid w:val="5B8816A9"/>
    <w:rsid w:val="5BA77753"/>
    <w:rsid w:val="5BAA5AC3"/>
    <w:rsid w:val="5BB60E53"/>
    <w:rsid w:val="5BC025EF"/>
    <w:rsid w:val="5BCC33F3"/>
    <w:rsid w:val="5C077640"/>
    <w:rsid w:val="5C0C052C"/>
    <w:rsid w:val="5C1203C7"/>
    <w:rsid w:val="5C1F35AE"/>
    <w:rsid w:val="5C3905BF"/>
    <w:rsid w:val="5C66397A"/>
    <w:rsid w:val="5C7349B6"/>
    <w:rsid w:val="5C824C05"/>
    <w:rsid w:val="5C8725EE"/>
    <w:rsid w:val="5CB0251A"/>
    <w:rsid w:val="5CB97030"/>
    <w:rsid w:val="5CC97332"/>
    <w:rsid w:val="5D073AE3"/>
    <w:rsid w:val="5D187049"/>
    <w:rsid w:val="5D1D2427"/>
    <w:rsid w:val="5D1E4C90"/>
    <w:rsid w:val="5D756277"/>
    <w:rsid w:val="5D760215"/>
    <w:rsid w:val="5D7D3B34"/>
    <w:rsid w:val="5D955FBD"/>
    <w:rsid w:val="5D9C143B"/>
    <w:rsid w:val="5DA62524"/>
    <w:rsid w:val="5DAC3919"/>
    <w:rsid w:val="5DB36259"/>
    <w:rsid w:val="5DBD33B2"/>
    <w:rsid w:val="5DC223CB"/>
    <w:rsid w:val="5DF179D9"/>
    <w:rsid w:val="5DF66637"/>
    <w:rsid w:val="5DFF6858"/>
    <w:rsid w:val="5E042C9C"/>
    <w:rsid w:val="5E0F2B0E"/>
    <w:rsid w:val="5E185132"/>
    <w:rsid w:val="5E21523D"/>
    <w:rsid w:val="5E2A0167"/>
    <w:rsid w:val="5E2F6C27"/>
    <w:rsid w:val="5E5B1786"/>
    <w:rsid w:val="5E5D68E8"/>
    <w:rsid w:val="5E802A96"/>
    <w:rsid w:val="5E9074FF"/>
    <w:rsid w:val="5EAD0273"/>
    <w:rsid w:val="5EAE1AF2"/>
    <w:rsid w:val="5EB62A77"/>
    <w:rsid w:val="5EB80355"/>
    <w:rsid w:val="5EBB2226"/>
    <w:rsid w:val="5EBE5F24"/>
    <w:rsid w:val="5EF07004"/>
    <w:rsid w:val="5EF332DD"/>
    <w:rsid w:val="5F0E1E9A"/>
    <w:rsid w:val="5F506981"/>
    <w:rsid w:val="5F842414"/>
    <w:rsid w:val="5F860C23"/>
    <w:rsid w:val="5F8C421C"/>
    <w:rsid w:val="5FC44411"/>
    <w:rsid w:val="5FE05236"/>
    <w:rsid w:val="5FE426E2"/>
    <w:rsid w:val="5FEF1703"/>
    <w:rsid w:val="60023749"/>
    <w:rsid w:val="605C7AA6"/>
    <w:rsid w:val="605F132B"/>
    <w:rsid w:val="606647BC"/>
    <w:rsid w:val="60835DEC"/>
    <w:rsid w:val="608510A4"/>
    <w:rsid w:val="608762FF"/>
    <w:rsid w:val="6090477C"/>
    <w:rsid w:val="609E1C45"/>
    <w:rsid w:val="60B74397"/>
    <w:rsid w:val="60BD4FD1"/>
    <w:rsid w:val="60C23FA5"/>
    <w:rsid w:val="60D507D0"/>
    <w:rsid w:val="60E07610"/>
    <w:rsid w:val="60E8326C"/>
    <w:rsid w:val="60EA1511"/>
    <w:rsid w:val="60EB6C34"/>
    <w:rsid w:val="60FD5C7B"/>
    <w:rsid w:val="610C1CA3"/>
    <w:rsid w:val="613D7E7B"/>
    <w:rsid w:val="61425C7D"/>
    <w:rsid w:val="61677A5F"/>
    <w:rsid w:val="617162E9"/>
    <w:rsid w:val="61A52BAA"/>
    <w:rsid w:val="61C36FD5"/>
    <w:rsid w:val="61CF1360"/>
    <w:rsid w:val="61FA0AE4"/>
    <w:rsid w:val="621D7EC3"/>
    <w:rsid w:val="62221C10"/>
    <w:rsid w:val="62336200"/>
    <w:rsid w:val="623438BB"/>
    <w:rsid w:val="62352B2C"/>
    <w:rsid w:val="624B10F0"/>
    <w:rsid w:val="624F3E48"/>
    <w:rsid w:val="62516C98"/>
    <w:rsid w:val="62620EDB"/>
    <w:rsid w:val="62635981"/>
    <w:rsid w:val="629B3E75"/>
    <w:rsid w:val="629B5D43"/>
    <w:rsid w:val="62A36D1F"/>
    <w:rsid w:val="62A40365"/>
    <w:rsid w:val="62A469A9"/>
    <w:rsid w:val="62A92FF1"/>
    <w:rsid w:val="62B90FFE"/>
    <w:rsid w:val="62E10186"/>
    <w:rsid w:val="62E31F5E"/>
    <w:rsid w:val="62F6018D"/>
    <w:rsid w:val="63016E3A"/>
    <w:rsid w:val="63034141"/>
    <w:rsid w:val="63045C2E"/>
    <w:rsid w:val="63045E00"/>
    <w:rsid w:val="630A731B"/>
    <w:rsid w:val="631A3570"/>
    <w:rsid w:val="63386B48"/>
    <w:rsid w:val="633A3FE7"/>
    <w:rsid w:val="63410B16"/>
    <w:rsid w:val="63562840"/>
    <w:rsid w:val="637141EC"/>
    <w:rsid w:val="63805B1F"/>
    <w:rsid w:val="63827325"/>
    <w:rsid w:val="63834973"/>
    <w:rsid w:val="638F3DC7"/>
    <w:rsid w:val="6397194C"/>
    <w:rsid w:val="63AB4D19"/>
    <w:rsid w:val="63DA4B5E"/>
    <w:rsid w:val="63DE2C24"/>
    <w:rsid w:val="640A35A3"/>
    <w:rsid w:val="64273E62"/>
    <w:rsid w:val="642E2892"/>
    <w:rsid w:val="643B736C"/>
    <w:rsid w:val="647C6B19"/>
    <w:rsid w:val="64AD7C37"/>
    <w:rsid w:val="64B0399F"/>
    <w:rsid w:val="64B05758"/>
    <w:rsid w:val="64BE4B0D"/>
    <w:rsid w:val="65075A96"/>
    <w:rsid w:val="650E600B"/>
    <w:rsid w:val="650F0C7B"/>
    <w:rsid w:val="651541F8"/>
    <w:rsid w:val="652B691A"/>
    <w:rsid w:val="654C3A40"/>
    <w:rsid w:val="659438DB"/>
    <w:rsid w:val="65B221E6"/>
    <w:rsid w:val="65BB5F2E"/>
    <w:rsid w:val="65DE52DF"/>
    <w:rsid w:val="65E939D5"/>
    <w:rsid w:val="66134259"/>
    <w:rsid w:val="66426031"/>
    <w:rsid w:val="66593B74"/>
    <w:rsid w:val="665D2DD8"/>
    <w:rsid w:val="66651C8A"/>
    <w:rsid w:val="66675176"/>
    <w:rsid w:val="669F2C65"/>
    <w:rsid w:val="66BE6B53"/>
    <w:rsid w:val="66C16E24"/>
    <w:rsid w:val="66C55FD8"/>
    <w:rsid w:val="66C96C89"/>
    <w:rsid w:val="66D333AF"/>
    <w:rsid w:val="67023742"/>
    <w:rsid w:val="67192A34"/>
    <w:rsid w:val="674A4927"/>
    <w:rsid w:val="6760233B"/>
    <w:rsid w:val="677243C5"/>
    <w:rsid w:val="6773320D"/>
    <w:rsid w:val="678568CD"/>
    <w:rsid w:val="67904A3A"/>
    <w:rsid w:val="67A24F14"/>
    <w:rsid w:val="67BB4EAD"/>
    <w:rsid w:val="67E453F6"/>
    <w:rsid w:val="67F130F8"/>
    <w:rsid w:val="67F84AFE"/>
    <w:rsid w:val="680878A3"/>
    <w:rsid w:val="6813679E"/>
    <w:rsid w:val="68330674"/>
    <w:rsid w:val="68340476"/>
    <w:rsid w:val="68366D6B"/>
    <w:rsid w:val="68375AD4"/>
    <w:rsid w:val="683870E8"/>
    <w:rsid w:val="68457681"/>
    <w:rsid w:val="684977D5"/>
    <w:rsid w:val="68552C50"/>
    <w:rsid w:val="685D34E7"/>
    <w:rsid w:val="686A1EFF"/>
    <w:rsid w:val="688F3DD3"/>
    <w:rsid w:val="68A23D28"/>
    <w:rsid w:val="68A8123A"/>
    <w:rsid w:val="68B84F4C"/>
    <w:rsid w:val="68EE5593"/>
    <w:rsid w:val="69055229"/>
    <w:rsid w:val="691B5EE3"/>
    <w:rsid w:val="6929374C"/>
    <w:rsid w:val="692F20BB"/>
    <w:rsid w:val="69431305"/>
    <w:rsid w:val="69784C3F"/>
    <w:rsid w:val="69C1095D"/>
    <w:rsid w:val="6A0138F7"/>
    <w:rsid w:val="6A06480C"/>
    <w:rsid w:val="6A1E155A"/>
    <w:rsid w:val="6A21118D"/>
    <w:rsid w:val="6A682BD4"/>
    <w:rsid w:val="6A7B5447"/>
    <w:rsid w:val="6ADB012D"/>
    <w:rsid w:val="6AE3748E"/>
    <w:rsid w:val="6AE83C5F"/>
    <w:rsid w:val="6AF53FAE"/>
    <w:rsid w:val="6B1C3EC6"/>
    <w:rsid w:val="6B3F4C28"/>
    <w:rsid w:val="6B574638"/>
    <w:rsid w:val="6B5F5B98"/>
    <w:rsid w:val="6B615C8D"/>
    <w:rsid w:val="6B67068F"/>
    <w:rsid w:val="6B6E2E8D"/>
    <w:rsid w:val="6B7E4876"/>
    <w:rsid w:val="6B803128"/>
    <w:rsid w:val="6B830718"/>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673BD4"/>
    <w:rsid w:val="6C725FD7"/>
    <w:rsid w:val="6C8379F5"/>
    <w:rsid w:val="6C852D02"/>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C36570"/>
    <w:rsid w:val="6DEF52E3"/>
    <w:rsid w:val="6E022AD9"/>
    <w:rsid w:val="6E0472B5"/>
    <w:rsid w:val="6E093BE3"/>
    <w:rsid w:val="6E0E6A1E"/>
    <w:rsid w:val="6E2D763E"/>
    <w:rsid w:val="6E420FB1"/>
    <w:rsid w:val="6E673532"/>
    <w:rsid w:val="6E6B46D3"/>
    <w:rsid w:val="6E953983"/>
    <w:rsid w:val="6E95768E"/>
    <w:rsid w:val="6EA14900"/>
    <w:rsid w:val="6EB27AA3"/>
    <w:rsid w:val="6EBD1CFE"/>
    <w:rsid w:val="6EF9461D"/>
    <w:rsid w:val="6F122880"/>
    <w:rsid w:val="6F1348E9"/>
    <w:rsid w:val="6F2A01FE"/>
    <w:rsid w:val="6F2A71A4"/>
    <w:rsid w:val="6F44291B"/>
    <w:rsid w:val="6F5D1EE4"/>
    <w:rsid w:val="6F864031"/>
    <w:rsid w:val="6F9415EA"/>
    <w:rsid w:val="6FB72F84"/>
    <w:rsid w:val="6FCA5E7C"/>
    <w:rsid w:val="6FE11F22"/>
    <w:rsid w:val="6FE3419F"/>
    <w:rsid w:val="6FF778F1"/>
    <w:rsid w:val="700346D4"/>
    <w:rsid w:val="700972F0"/>
    <w:rsid w:val="70287F2C"/>
    <w:rsid w:val="708F6D06"/>
    <w:rsid w:val="70AF69EB"/>
    <w:rsid w:val="70B4665F"/>
    <w:rsid w:val="70C667BE"/>
    <w:rsid w:val="70DE2249"/>
    <w:rsid w:val="70F97D93"/>
    <w:rsid w:val="710E13DA"/>
    <w:rsid w:val="71181113"/>
    <w:rsid w:val="711D7CA6"/>
    <w:rsid w:val="71226ACC"/>
    <w:rsid w:val="71227E63"/>
    <w:rsid w:val="71276B55"/>
    <w:rsid w:val="71614B6B"/>
    <w:rsid w:val="71682326"/>
    <w:rsid w:val="718D2905"/>
    <w:rsid w:val="718D5D7E"/>
    <w:rsid w:val="719909D2"/>
    <w:rsid w:val="719B61D4"/>
    <w:rsid w:val="71A10922"/>
    <w:rsid w:val="71CF7BDA"/>
    <w:rsid w:val="71D214DD"/>
    <w:rsid w:val="71E107C1"/>
    <w:rsid w:val="71F62920"/>
    <w:rsid w:val="71F633B8"/>
    <w:rsid w:val="72091DAA"/>
    <w:rsid w:val="72122B3D"/>
    <w:rsid w:val="72267D97"/>
    <w:rsid w:val="723734D4"/>
    <w:rsid w:val="724E29D1"/>
    <w:rsid w:val="725307E2"/>
    <w:rsid w:val="728564F5"/>
    <w:rsid w:val="728B7ACE"/>
    <w:rsid w:val="728E70EC"/>
    <w:rsid w:val="729701CD"/>
    <w:rsid w:val="72A30D51"/>
    <w:rsid w:val="72AB431D"/>
    <w:rsid w:val="72DA09BB"/>
    <w:rsid w:val="72E745EF"/>
    <w:rsid w:val="72E97F76"/>
    <w:rsid w:val="72F905F3"/>
    <w:rsid w:val="72FA1E95"/>
    <w:rsid w:val="730E0485"/>
    <w:rsid w:val="730E4D7D"/>
    <w:rsid w:val="731466EF"/>
    <w:rsid w:val="731F20C0"/>
    <w:rsid w:val="73212A01"/>
    <w:rsid w:val="73322FF0"/>
    <w:rsid w:val="733712FB"/>
    <w:rsid w:val="73460FB0"/>
    <w:rsid w:val="73513F28"/>
    <w:rsid w:val="735A7119"/>
    <w:rsid w:val="735F5FC7"/>
    <w:rsid w:val="736127BE"/>
    <w:rsid w:val="737C3088"/>
    <w:rsid w:val="739E0038"/>
    <w:rsid w:val="73B34591"/>
    <w:rsid w:val="73BE3A62"/>
    <w:rsid w:val="73D850A2"/>
    <w:rsid w:val="73DE7F6C"/>
    <w:rsid w:val="73E365CE"/>
    <w:rsid w:val="73E64B1D"/>
    <w:rsid w:val="74065409"/>
    <w:rsid w:val="740735EA"/>
    <w:rsid w:val="7408106C"/>
    <w:rsid w:val="7412351E"/>
    <w:rsid w:val="744A79EB"/>
    <w:rsid w:val="74653193"/>
    <w:rsid w:val="749976D2"/>
    <w:rsid w:val="749A5DF4"/>
    <w:rsid w:val="749F2D9C"/>
    <w:rsid w:val="74A85669"/>
    <w:rsid w:val="74BB4279"/>
    <w:rsid w:val="74BE4E97"/>
    <w:rsid w:val="74D504C8"/>
    <w:rsid w:val="74F679F1"/>
    <w:rsid w:val="74F841F7"/>
    <w:rsid w:val="75003D28"/>
    <w:rsid w:val="750445F2"/>
    <w:rsid w:val="751D637E"/>
    <w:rsid w:val="751F2555"/>
    <w:rsid w:val="752E10BB"/>
    <w:rsid w:val="753504B8"/>
    <w:rsid w:val="75466A74"/>
    <w:rsid w:val="757D16FB"/>
    <w:rsid w:val="757F0576"/>
    <w:rsid w:val="757F267E"/>
    <w:rsid w:val="758418D8"/>
    <w:rsid w:val="75A17528"/>
    <w:rsid w:val="75AA6AC3"/>
    <w:rsid w:val="75B749A9"/>
    <w:rsid w:val="75CB1443"/>
    <w:rsid w:val="75CD3F16"/>
    <w:rsid w:val="75EA5BFB"/>
    <w:rsid w:val="75FB3E47"/>
    <w:rsid w:val="761730D6"/>
    <w:rsid w:val="761A34DA"/>
    <w:rsid w:val="763B4414"/>
    <w:rsid w:val="76781DCD"/>
    <w:rsid w:val="76791A73"/>
    <w:rsid w:val="76D84698"/>
    <w:rsid w:val="77244524"/>
    <w:rsid w:val="77510603"/>
    <w:rsid w:val="775865D7"/>
    <w:rsid w:val="775A33B3"/>
    <w:rsid w:val="775B4584"/>
    <w:rsid w:val="776234AF"/>
    <w:rsid w:val="776D12AE"/>
    <w:rsid w:val="776F6C29"/>
    <w:rsid w:val="77895532"/>
    <w:rsid w:val="778D6739"/>
    <w:rsid w:val="77AD0FE0"/>
    <w:rsid w:val="77BE7384"/>
    <w:rsid w:val="77C81353"/>
    <w:rsid w:val="77DB72D8"/>
    <w:rsid w:val="77E31255"/>
    <w:rsid w:val="77F84869"/>
    <w:rsid w:val="780F37EC"/>
    <w:rsid w:val="787A6E12"/>
    <w:rsid w:val="78821B50"/>
    <w:rsid w:val="788E2A2A"/>
    <w:rsid w:val="789A30B4"/>
    <w:rsid w:val="78C52EE0"/>
    <w:rsid w:val="78D23C9C"/>
    <w:rsid w:val="7913610A"/>
    <w:rsid w:val="791A167A"/>
    <w:rsid w:val="794D119C"/>
    <w:rsid w:val="796B6F7E"/>
    <w:rsid w:val="7988703B"/>
    <w:rsid w:val="79935707"/>
    <w:rsid w:val="799A2128"/>
    <w:rsid w:val="79B750FC"/>
    <w:rsid w:val="79C0552F"/>
    <w:rsid w:val="79C30D65"/>
    <w:rsid w:val="79CC3295"/>
    <w:rsid w:val="79D37E29"/>
    <w:rsid w:val="7A0B1561"/>
    <w:rsid w:val="7A25258A"/>
    <w:rsid w:val="7A2C646D"/>
    <w:rsid w:val="7A441CE6"/>
    <w:rsid w:val="7A55546C"/>
    <w:rsid w:val="7A743686"/>
    <w:rsid w:val="7A787181"/>
    <w:rsid w:val="7A824E2E"/>
    <w:rsid w:val="7A8B65C5"/>
    <w:rsid w:val="7A991466"/>
    <w:rsid w:val="7A9E7BE0"/>
    <w:rsid w:val="7AA16381"/>
    <w:rsid w:val="7AFF6437"/>
    <w:rsid w:val="7B021BF1"/>
    <w:rsid w:val="7B4950F7"/>
    <w:rsid w:val="7B664809"/>
    <w:rsid w:val="7B6D01D7"/>
    <w:rsid w:val="7B9F2862"/>
    <w:rsid w:val="7BA9751C"/>
    <w:rsid w:val="7BAB44F6"/>
    <w:rsid w:val="7BB856C6"/>
    <w:rsid w:val="7BBB27D3"/>
    <w:rsid w:val="7BC24A45"/>
    <w:rsid w:val="7BD52A90"/>
    <w:rsid w:val="7BE449B6"/>
    <w:rsid w:val="7C076616"/>
    <w:rsid w:val="7C077F70"/>
    <w:rsid w:val="7C0D60AB"/>
    <w:rsid w:val="7C295DFC"/>
    <w:rsid w:val="7C2D18C4"/>
    <w:rsid w:val="7C2D46AF"/>
    <w:rsid w:val="7C454329"/>
    <w:rsid w:val="7C4B37FA"/>
    <w:rsid w:val="7C58255B"/>
    <w:rsid w:val="7C5B5FF8"/>
    <w:rsid w:val="7C910DB6"/>
    <w:rsid w:val="7C9E490F"/>
    <w:rsid w:val="7CA659DB"/>
    <w:rsid w:val="7CF03F88"/>
    <w:rsid w:val="7CF73786"/>
    <w:rsid w:val="7D091FF0"/>
    <w:rsid w:val="7D311F8A"/>
    <w:rsid w:val="7D414AE7"/>
    <w:rsid w:val="7D4C6AE0"/>
    <w:rsid w:val="7D573168"/>
    <w:rsid w:val="7D5E51C4"/>
    <w:rsid w:val="7D6A60FB"/>
    <w:rsid w:val="7D7525FB"/>
    <w:rsid w:val="7DC111D1"/>
    <w:rsid w:val="7DC43A43"/>
    <w:rsid w:val="7DC74225"/>
    <w:rsid w:val="7DDA69EF"/>
    <w:rsid w:val="7DDD18D5"/>
    <w:rsid w:val="7E2C19FD"/>
    <w:rsid w:val="7E387C57"/>
    <w:rsid w:val="7E546857"/>
    <w:rsid w:val="7E6C26A2"/>
    <w:rsid w:val="7EB35583"/>
    <w:rsid w:val="7EB5276C"/>
    <w:rsid w:val="7EBC57D7"/>
    <w:rsid w:val="7EBD001F"/>
    <w:rsid w:val="7EC6546C"/>
    <w:rsid w:val="7ED0794B"/>
    <w:rsid w:val="7ED70A6F"/>
    <w:rsid w:val="7EE20D78"/>
    <w:rsid w:val="7EF02F3D"/>
    <w:rsid w:val="7EF377C6"/>
    <w:rsid w:val="7EFF38D3"/>
    <w:rsid w:val="7F142033"/>
    <w:rsid w:val="7F3206AA"/>
    <w:rsid w:val="7F4D213E"/>
    <w:rsid w:val="7F5E6382"/>
    <w:rsid w:val="7F5F2553"/>
    <w:rsid w:val="7F89742A"/>
    <w:rsid w:val="7F9B22D0"/>
    <w:rsid w:val="7F9F74D0"/>
    <w:rsid w:val="7FA200C0"/>
    <w:rsid w:val="7FA23B7F"/>
    <w:rsid w:val="7FAC3308"/>
    <w:rsid w:val="7FBE60DA"/>
    <w:rsid w:val="7FBF3588"/>
    <w:rsid w:val="7FDE4F4F"/>
    <w:rsid w:val="7FEB69A3"/>
    <w:rsid w:val="7FFB0146"/>
    <w:rsid w:val="7FFE7C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9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7"/>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43"/>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7">
    <w:name w:val="toc 7"/>
    <w:basedOn w:val="1"/>
    <w:next w:val="1"/>
    <w:qFormat/>
    <w:uiPriority w:val="99"/>
    <w:pPr>
      <w:ind w:left="2520" w:leftChars="1200"/>
    </w:pPr>
  </w:style>
  <w:style w:type="paragraph" w:styleId="8">
    <w:name w:val="Normal Indent"/>
    <w:basedOn w:val="1"/>
    <w:qFormat/>
    <w:uiPriority w:val="0"/>
    <w:pPr>
      <w:ind w:firstLine="420"/>
    </w:pPr>
    <w:rPr>
      <w:szCs w:val="20"/>
    </w:rPr>
  </w:style>
  <w:style w:type="paragraph" w:styleId="9">
    <w:name w:val="Document Map"/>
    <w:basedOn w:val="1"/>
    <w:link w:val="46"/>
    <w:qFormat/>
    <w:uiPriority w:val="0"/>
    <w:rPr>
      <w:rFonts w:ascii="宋体" w:hAnsi="Tahoma"/>
      <w:sz w:val="18"/>
      <w:szCs w:val="18"/>
    </w:rPr>
  </w:style>
  <w:style w:type="paragraph" w:styleId="10">
    <w:name w:val="annotation text"/>
    <w:basedOn w:val="1"/>
    <w:link w:val="74"/>
    <w:semiHidden/>
    <w:qFormat/>
    <w:uiPriority w:val="99"/>
    <w:pPr>
      <w:jc w:val="left"/>
    </w:pPr>
    <w:rPr>
      <w:rFonts w:ascii="Tahoma" w:hAnsi="Tahoma"/>
    </w:rPr>
  </w:style>
  <w:style w:type="paragraph" w:styleId="11">
    <w:name w:val="Body Text 3"/>
    <w:basedOn w:val="1"/>
    <w:qFormat/>
    <w:uiPriority w:val="0"/>
    <w:rPr>
      <w:kern w:val="0"/>
      <w:sz w:val="16"/>
      <w:szCs w:val="16"/>
    </w:rPr>
  </w:style>
  <w:style w:type="paragraph" w:styleId="12">
    <w:name w:val="Body Text"/>
    <w:basedOn w:val="1"/>
    <w:next w:val="7"/>
    <w:qFormat/>
    <w:uiPriority w:val="0"/>
    <w:pPr>
      <w:spacing w:after="120"/>
    </w:pPr>
  </w:style>
  <w:style w:type="paragraph" w:styleId="13">
    <w:name w:val="Body Text Indent"/>
    <w:basedOn w:val="1"/>
    <w:qFormat/>
    <w:uiPriority w:val="0"/>
    <w:pPr>
      <w:spacing w:after="120"/>
      <w:ind w:left="420" w:leftChars="200"/>
    </w:pPr>
  </w:style>
  <w:style w:type="paragraph" w:styleId="14">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5">
    <w:name w:val="toc 3"/>
    <w:basedOn w:val="1"/>
    <w:next w:val="1"/>
    <w:unhideWhenUsed/>
    <w:qFormat/>
    <w:uiPriority w:val="39"/>
    <w:pPr>
      <w:ind w:left="840" w:leftChars="400"/>
    </w:pPr>
    <w:rPr>
      <w:sz w:val="28"/>
    </w:rPr>
  </w:style>
  <w:style w:type="paragraph" w:styleId="16">
    <w:name w:val="Plain Text"/>
    <w:basedOn w:val="1"/>
    <w:qFormat/>
    <w:uiPriority w:val="0"/>
    <w:rPr>
      <w:rFonts w:ascii="宋体" w:hAnsi="Courier New" w:eastAsia="楷体_GB2312"/>
      <w:snapToGrid w:val="0"/>
      <w:color w:val="000000"/>
      <w:kern w:val="0"/>
      <w:sz w:val="32"/>
      <w:szCs w:val="21"/>
    </w:rPr>
  </w:style>
  <w:style w:type="paragraph" w:styleId="17">
    <w:name w:val="Date"/>
    <w:basedOn w:val="1"/>
    <w:next w:val="1"/>
    <w:qFormat/>
    <w:uiPriority w:val="0"/>
    <w:rPr>
      <w:rFonts w:ascii="楷体_GB2312" w:eastAsia="楷体_GB2312"/>
      <w:color w:val="000000"/>
      <w:kern w:val="0"/>
      <w:sz w:val="32"/>
      <w:szCs w:val="32"/>
    </w:rPr>
  </w:style>
  <w:style w:type="paragraph" w:styleId="18">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9">
    <w:name w:val="Balloon Text"/>
    <w:basedOn w:val="1"/>
    <w:unhideWhenUsed/>
    <w:qFormat/>
    <w:uiPriority w:val="0"/>
    <w:rPr>
      <w:sz w:val="18"/>
      <w:szCs w:val="18"/>
    </w:rPr>
  </w:style>
  <w:style w:type="paragraph" w:styleId="20">
    <w:name w:val="footer"/>
    <w:basedOn w:val="1"/>
    <w:link w:val="68"/>
    <w:qFormat/>
    <w:uiPriority w:val="99"/>
    <w:pPr>
      <w:tabs>
        <w:tab w:val="center" w:pos="4153"/>
        <w:tab w:val="right" w:pos="8306"/>
      </w:tabs>
      <w:snapToGrid w:val="0"/>
      <w:jc w:val="left"/>
    </w:pPr>
    <w:rPr>
      <w:rFonts w:ascii="Tahoma" w:hAnsi="Tahoma"/>
      <w:sz w:val="18"/>
      <w:szCs w:val="18"/>
    </w:rPr>
  </w:style>
  <w:style w:type="paragraph" w:styleId="21">
    <w:name w:val="header"/>
    <w:basedOn w:val="1"/>
    <w:next w:val="14"/>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style>
  <w:style w:type="paragraph" w:styleId="23">
    <w:name w:val="Body Text Indent 3"/>
    <w:basedOn w:val="1"/>
    <w:qFormat/>
    <w:uiPriority w:val="0"/>
    <w:pPr>
      <w:ind w:left="359" w:leftChars="171" w:firstLine="554" w:firstLineChars="198"/>
    </w:pPr>
    <w:rPr>
      <w:sz w:val="28"/>
      <w:szCs w:val="20"/>
    </w:rPr>
  </w:style>
  <w:style w:type="paragraph" w:styleId="24">
    <w:name w:val="toc 2"/>
    <w:basedOn w:val="1"/>
    <w:next w:val="1"/>
    <w:qFormat/>
    <w:uiPriority w:val="39"/>
    <w:pPr>
      <w:ind w:left="420" w:leftChars="200"/>
    </w:pPr>
  </w:style>
  <w:style w:type="paragraph" w:styleId="25">
    <w:name w:val="Body Text 2"/>
    <w:basedOn w:val="1"/>
    <w:qFormat/>
    <w:uiPriority w:val="0"/>
    <w:pPr>
      <w:spacing w:after="120" w:line="480" w:lineRule="auto"/>
    </w:pPr>
  </w:style>
  <w:style w:type="paragraph" w:styleId="26">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7">
    <w:name w:val="annotation subject"/>
    <w:basedOn w:val="10"/>
    <w:next w:val="10"/>
    <w:link w:val="72"/>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rFonts w:ascii="Tahoma" w:hAnsi="Tahoma"/>
      <w:b/>
      <w:bCs/>
      <w:sz w:val="24"/>
    </w:rPr>
  </w:style>
  <w:style w:type="character" w:styleId="32">
    <w:name w:val="page number"/>
    <w:basedOn w:val="30"/>
    <w:qFormat/>
    <w:uiPriority w:val="0"/>
  </w:style>
  <w:style w:type="character" w:styleId="33">
    <w:name w:val="FollowedHyperlink"/>
    <w:qFormat/>
    <w:uiPriority w:val="0"/>
    <w:rPr>
      <w:rFonts w:ascii="Tahoma" w:hAnsi="Tahoma"/>
      <w:color w:val="000000"/>
      <w:sz w:val="18"/>
      <w:szCs w:val="18"/>
      <w:u w:val="none"/>
    </w:rPr>
  </w:style>
  <w:style w:type="character" w:styleId="34">
    <w:name w:val="Emphasis"/>
    <w:basedOn w:val="30"/>
    <w:qFormat/>
    <w:uiPriority w:val="0"/>
    <w:rPr>
      <w:color w:val="D73130"/>
      <w:sz w:val="24"/>
      <w:szCs w:val="24"/>
    </w:rPr>
  </w:style>
  <w:style w:type="character" w:styleId="35">
    <w:name w:val="HTML Definition"/>
    <w:basedOn w:val="30"/>
    <w:qFormat/>
    <w:uiPriority w:val="0"/>
    <w:rPr>
      <w:i/>
      <w:iCs/>
    </w:rPr>
  </w:style>
  <w:style w:type="character" w:styleId="36">
    <w:name w:val="Hyperlink"/>
    <w:qFormat/>
    <w:uiPriority w:val="99"/>
    <w:rPr>
      <w:rFonts w:ascii="Tahoma" w:hAnsi="Tahoma"/>
      <w:color w:val="0000FF"/>
      <w:sz w:val="24"/>
      <w:u w:val="single"/>
    </w:rPr>
  </w:style>
  <w:style w:type="character" w:styleId="37">
    <w:name w:val="HTML Code"/>
    <w:basedOn w:val="30"/>
    <w:qFormat/>
    <w:uiPriority w:val="0"/>
    <w:rPr>
      <w:rFonts w:hint="default" w:ascii="Consolas" w:hAnsi="Consolas" w:eastAsia="Consolas" w:cs="Consolas"/>
      <w:color w:val="C7254E"/>
      <w:sz w:val="21"/>
      <w:szCs w:val="21"/>
      <w:shd w:val="clear" w:fill="F9F2F4"/>
    </w:rPr>
  </w:style>
  <w:style w:type="character" w:styleId="38">
    <w:name w:val="annotation reference"/>
    <w:unhideWhenUsed/>
    <w:qFormat/>
    <w:uiPriority w:val="99"/>
    <w:rPr>
      <w:rFonts w:ascii="Tahoma" w:hAnsi="Tahoma"/>
      <w:sz w:val="21"/>
      <w:szCs w:val="21"/>
    </w:rPr>
  </w:style>
  <w:style w:type="character" w:styleId="39">
    <w:name w:val="HTML Cite"/>
    <w:basedOn w:val="30"/>
    <w:qFormat/>
    <w:uiPriority w:val="0"/>
    <w:rPr>
      <w:sz w:val="24"/>
      <w:szCs w:val="24"/>
    </w:rPr>
  </w:style>
  <w:style w:type="character" w:styleId="40">
    <w:name w:val="HTML Keyboard"/>
    <w:basedOn w:val="30"/>
    <w:qFormat/>
    <w:uiPriority w:val="0"/>
    <w:rPr>
      <w:rFonts w:hint="default" w:ascii="Consolas" w:hAnsi="Consolas" w:eastAsia="Consolas" w:cs="Consolas"/>
      <w:color w:val="FFFFFF"/>
      <w:sz w:val="21"/>
      <w:szCs w:val="21"/>
      <w:shd w:val="clear" w:fill="333333"/>
    </w:rPr>
  </w:style>
  <w:style w:type="character" w:styleId="41">
    <w:name w:val="HTML Sample"/>
    <w:basedOn w:val="30"/>
    <w:qFormat/>
    <w:uiPriority w:val="0"/>
    <w:rPr>
      <w:rFonts w:ascii="Consolas" w:hAnsi="Consolas" w:eastAsia="Consolas" w:cs="Consolas"/>
      <w:sz w:val="21"/>
      <w:szCs w:val="21"/>
    </w:rPr>
  </w:style>
  <w:style w:type="character" w:customStyle="1" w:styleId="42">
    <w:name w:val="标题 2 Char"/>
    <w:qFormat/>
    <w:uiPriority w:val="0"/>
    <w:rPr>
      <w:rFonts w:ascii="Arial" w:hAnsi="Arial" w:eastAsia="黑体"/>
      <w:b/>
      <w:bCs/>
      <w:kern w:val="2"/>
      <w:sz w:val="32"/>
      <w:szCs w:val="32"/>
      <w:lang w:val="en-US" w:eastAsia="zh-CN" w:bidi="ar-SA"/>
    </w:rPr>
  </w:style>
  <w:style w:type="character" w:customStyle="1" w:styleId="43">
    <w:name w:val="标题 3 字符"/>
    <w:link w:val="5"/>
    <w:qFormat/>
    <w:uiPriority w:val="0"/>
    <w:rPr>
      <w:b/>
      <w:bCs/>
      <w:sz w:val="32"/>
      <w:szCs w:val="32"/>
    </w:rPr>
  </w:style>
  <w:style w:type="paragraph" w:styleId="44">
    <w:name w:val="List Paragraph"/>
    <w:basedOn w:val="1"/>
    <w:qFormat/>
    <w:uiPriority w:val="34"/>
    <w:pPr>
      <w:ind w:firstLine="420" w:firstLineChars="200"/>
    </w:pPr>
    <w:rPr>
      <w:sz w:val="28"/>
    </w:rPr>
  </w:style>
  <w:style w:type="character" w:customStyle="1" w:styleId="45">
    <w:name w:val="cfdate"/>
    <w:basedOn w:val="30"/>
    <w:qFormat/>
    <w:uiPriority w:val="0"/>
    <w:rPr>
      <w:color w:val="333333"/>
      <w:sz w:val="18"/>
      <w:szCs w:val="18"/>
    </w:rPr>
  </w:style>
  <w:style w:type="character" w:customStyle="1" w:styleId="46">
    <w:name w:val="文档结构图 字符"/>
    <w:link w:val="9"/>
    <w:qFormat/>
    <w:uiPriority w:val="0"/>
    <w:rPr>
      <w:rFonts w:ascii="宋体" w:hAnsi="Tahoma"/>
      <w:kern w:val="2"/>
      <w:sz w:val="18"/>
      <w:szCs w:val="18"/>
    </w:rPr>
  </w:style>
  <w:style w:type="character" w:customStyle="1" w:styleId="47">
    <w:name w:val="copyright"/>
    <w:basedOn w:val="30"/>
    <w:qFormat/>
    <w:uiPriority w:val="0"/>
  </w:style>
  <w:style w:type="character" w:customStyle="1" w:styleId="48">
    <w:name w:val="Char Char6"/>
    <w:qFormat/>
    <w:uiPriority w:val="0"/>
    <w:rPr>
      <w:rFonts w:ascii="Tahoma" w:hAnsi="Tahoma" w:eastAsia="宋体"/>
      <w:b/>
      <w:bCs/>
      <w:kern w:val="2"/>
      <w:sz w:val="32"/>
      <w:szCs w:val="32"/>
      <w:lang w:val="en-US" w:eastAsia="zh-CN" w:bidi="ar-SA"/>
    </w:rPr>
  </w:style>
  <w:style w:type="character" w:customStyle="1" w:styleId="49">
    <w:name w:val="qxdate"/>
    <w:basedOn w:val="30"/>
    <w:qFormat/>
    <w:uiPriority w:val="0"/>
    <w:rPr>
      <w:color w:val="333333"/>
      <w:sz w:val="18"/>
      <w:szCs w:val="18"/>
    </w:rPr>
  </w:style>
  <w:style w:type="character" w:customStyle="1" w:styleId="50">
    <w:name w:val="gjfg"/>
    <w:basedOn w:val="30"/>
    <w:qFormat/>
    <w:uiPriority w:val="0"/>
  </w:style>
  <w:style w:type="character" w:customStyle="1" w:styleId="51">
    <w:name w:val="Char Char3"/>
    <w:semiHidden/>
    <w:qFormat/>
    <w:uiPriority w:val="0"/>
    <w:rPr>
      <w:rFonts w:ascii="Tahoma" w:hAnsi="Tahoma" w:eastAsia="宋体"/>
      <w:kern w:val="2"/>
      <w:sz w:val="18"/>
      <w:szCs w:val="18"/>
      <w:lang w:val="en-US" w:eastAsia="zh-CN" w:bidi="ar-SA"/>
    </w:rPr>
  </w:style>
  <w:style w:type="character" w:customStyle="1" w:styleId="52">
    <w:name w:val="普通文字 Char2"/>
    <w:qFormat/>
    <w:uiPriority w:val="0"/>
    <w:rPr>
      <w:rFonts w:ascii="宋体" w:hAnsi="Courier New" w:eastAsia="楷体_GB2312"/>
      <w:snapToGrid w:val="0"/>
      <w:color w:val="000000"/>
      <w:sz w:val="32"/>
      <w:szCs w:val="21"/>
      <w:lang w:val="en-US" w:eastAsia="zh-CN" w:bidi="ar-SA"/>
    </w:rPr>
  </w:style>
  <w:style w:type="character" w:customStyle="1" w:styleId="53">
    <w:name w:val="Char Char4"/>
    <w:qFormat/>
    <w:uiPriority w:val="0"/>
    <w:rPr>
      <w:rFonts w:ascii="Tahoma" w:hAnsi="Tahoma" w:eastAsia="宋体"/>
      <w:kern w:val="2"/>
      <w:sz w:val="18"/>
      <w:szCs w:val="18"/>
      <w:lang w:val="en-US" w:eastAsia="zh-CN" w:bidi="ar-SA"/>
    </w:rPr>
  </w:style>
  <w:style w:type="character" w:customStyle="1" w:styleId="54">
    <w:name w:val="font51"/>
    <w:qFormat/>
    <w:uiPriority w:val="0"/>
    <w:rPr>
      <w:rFonts w:hint="eastAsia" w:ascii="宋体" w:hAnsi="宋体" w:eastAsia="宋体" w:cs="宋体"/>
      <w:color w:val="000000"/>
      <w:sz w:val="21"/>
      <w:szCs w:val="21"/>
      <w:u w:val="none"/>
    </w:rPr>
  </w:style>
  <w:style w:type="character" w:customStyle="1" w:styleId="55">
    <w:name w:val="Char Char1"/>
    <w:semiHidden/>
    <w:qFormat/>
    <w:uiPriority w:val="0"/>
    <w:rPr>
      <w:rFonts w:ascii="Tahoma" w:hAnsi="Tahoma" w:eastAsia="宋体"/>
      <w:kern w:val="2"/>
      <w:sz w:val="28"/>
      <w:lang w:val="en-US" w:eastAsia="zh-CN" w:bidi="ar-SA"/>
    </w:rPr>
  </w:style>
  <w:style w:type="character" w:customStyle="1" w:styleId="56">
    <w:name w:val="profont1"/>
    <w:qFormat/>
    <w:uiPriority w:val="0"/>
    <w:rPr>
      <w:rFonts w:hint="default" w:ascii="Verdana" w:hAnsi="Verdana"/>
      <w:b/>
      <w:bCs/>
      <w:color w:val="333333"/>
      <w:sz w:val="24"/>
      <w:szCs w:val="24"/>
      <w:u w:val="none"/>
    </w:rPr>
  </w:style>
  <w:style w:type="character" w:customStyle="1" w:styleId="57">
    <w:name w:val="Char Char5"/>
    <w:qFormat/>
    <w:uiPriority w:val="0"/>
    <w:rPr>
      <w:rFonts w:ascii="Tahoma" w:hAnsi="Tahoma" w:eastAsia="宋体"/>
      <w:kern w:val="2"/>
      <w:sz w:val="18"/>
      <w:szCs w:val="18"/>
      <w:lang w:val="en-US" w:eastAsia="zh-CN" w:bidi="ar-SA"/>
    </w:rPr>
  </w:style>
  <w:style w:type="character" w:customStyle="1" w:styleId="58">
    <w:name w:val="标题 1.1 Char1"/>
    <w:qFormat/>
    <w:uiPriority w:val="0"/>
    <w:rPr>
      <w:rFonts w:ascii="Arial" w:hAnsi="Arial" w:eastAsia="黑体"/>
      <w:b/>
      <w:bCs/>
      <w:kern w:val="2"/>
      <w:sz w:val="32"/>
      <w:szCs w:val="32"/>
      <w:lang w:val="en-US" w:eastAsia="zh-CN" w:bidi="ar-SA"/>
    </w:rPr>
  </w:style>
  <w:style w:type="character" w:customStyle="1" w:styleId="59">
    <w:name w:val="font01"/>
    <w:qFormat/>
    <w:uiPriority w:val="0"/>
    <w:rPr>
      <w:rFonts w:hint="eastAsia" w:ascii="宋体" w:hAnsi="宋体" w:eastAsia="宋体" w:cs="宋体"/>
      <w:color w:val="000000"/>
      <w:sz w:val="24"/>
      <w:szCs w:val="24"/>
      <w:u w:val="none"/>
    </w:rPr>
  </w:style>
  <w:style w:type="character" w:customStyle="1" w:styleId="60">
    <w:name w:val="font11"/>
    <w:qFormat/>
    <w:uiPriority w:val="0"/>
    <w:rPr>
      <w:rFonts w:hint="eastAsia" w:ascii="宋体" w:hAnsi="宋体" w:eastAsia="宋体" w:cs="宋体"/>
      <w:b/>
      <w:color w:val="000000"/>
      <w:sz w:val="24"/>
      <w:szCs w:val="24"/>
      <w:u w:val="none"/>
    </w:rPr>
  </w:style>
  <w:style w:type="character" w:customStyle="1" w:styleId="61">
    <w:name w:val="Char Char"/>
    <w:qFormat/>
    <w:uiPriority w:val="0"/>
    <w:rPr>
      <w:rFonts w:ascii="Tahoma" w:hAnsi="Tahoma"/>
      <w:kern w:val="2"/>
      <w:sz w:val="21"/>
      <w:szCs w:val="24"/>
    </w:rPr>
  </w:style>
  <w:style w:type="character" w:customStyle="1" w:styleId="62">
    <w:name w:val="style111"/>
    <w:qFormat/>
    <w:uiPriority w:val="0"/>
    <w:rPr>
      <w:rFonts w:ascii="Tahoma" w:hAnsi="Tahoma"/>
      <w:sz w:val="22"/>
      <w:szCs w:val="22"/>
    </w:rPr>
  </w:style>
  <w:style w:type="character" w:customStyle="1" w:styleId="63">
    <w:name w:val="displayarti"/>
    <w:basedOn w:val="30"/>
    <w:qFormat/>
    <w:uiPriority w:val="0"/>
    <w:rPr>
      <w:color w:val="FFFFFF"/>
      <w:shd w:val="clear" w:color="auto" w:fill="A00000"/>
    </w:rPr>
  </w:style>
  <w:style w:type="character" w:customStyle="1" w:styleId="64">
    <w:name w:val="Char Char7"/>
    <w:qFormat/>
    <w:uiPriority w:val="0"/>
    <w:rPr>
      <w:rFonts w:ascii="Tahoma" w:hAnsi="Tahoma" w:eastAsia="宋体"/>
      <w:b/>
      <w:bCs/>
      <w:kern w:val="44"/>
      <w:sz w:val="44"/>
      <w:szCs w:val="44"/>
      <w:lang w:val="en-US" w:eastAsia="zh-CN" w:bidi="ar-SA"/>
    </w:rPr>
  </w:style>
  <w:style w:type="character" w:customStyle="1" w:styleId="65">
    <w:name w:val="font31"/>
    <w:qFormat/>
    <w:uiPriority w:val="0"/>
    <w:rPr>
      <w:rFonts w:hint="eastAsia" w:ascii="宋体" w:hAnsi="宋体" w:eastAsia="宋体" w:cs="宋体"/>
      <w:color w:val="000000"/>
      <w:sz w:val="21"/>
      <w:szCs w:val="21"/>
      <w:u w:val="none"/>
    </w:rPr>
  </w:style>
  <w:style w:type="character" w:customStyle="1" w:styleId="66">
    <w:name w:val="Char Char2"/>
    <w:qFormat/>
    <w:uiPriority w:val="0"/>
    <w:rPr>
      <w:rFonts w:ascii="华文仿宋" w:hAnsi="华文仿宋" w:eastAsia="华文仿宋"/>
      <w:color w:val="000000"/>
      <w:sz w:val="32"/>
      <w:szCs w:val="32"/>
      <w:lang w:val="en-US" w:eastAsia="zh-CN" w:bidi="ar-SA"/>
    </w:rPr>
  </w:style>
  <w:style w:type="character" w:customStyle="1" w:styleId="67">
    <w:name w:val="style51"/>
    <w:qFormat/>
    <w:uiPriority w:val="0"/>
    <w:rPr>
      <w:rFonts w:ascii="Tahoma" w:hAnsi="Tahoma"/>
      <w:b/>
      <w:bCs/>
      <w:color w:val="814107"/>
      <w:sz w:val="21"/>
      <w:szCs w:val="21"/>
    </w:rPr>
  </w:style>
  <w:style w:type="character" w:customStyle="1" w:styleId="68">
    <w:name w:val="页脚 字符"/>
    <w:link w:val="20"/>
    <w:qFormat/>
    <w:uiPriority w:val="99"/>
    <w:rPr>
      <w:rFonts w:ascii="Tahoma" w:hAnsi="Tahoma"/>
      <w:kern w:val="2"/>
      <w:sz w:val="18"/>
      <w:szCs w:val="18"/>
    </w:rPr>
  </w:style>
  <w:style w:type="character" w:customStyle="1" w:styleId="69">
    <w:name w:val="标题 1.1 Char"/>
    <w:qFormat/>
    <w:uiPriority w:val="0"/>
    <w:rPr>
      <w:rFonts w:ascii="仿宋_GB2312" w:hAnsi="Arial" w:eastAsia="仿宋_GB2312" w:cs="Arial"/>
      <w:b/>
      <w:bCs/>
      <w:kern w:val="2"/>
      <w:sz w:val="24"/>
      <w:szCs w:val="24"/>
      <w:lang w:val="en-US" w:eastAsia="zh-CN" w:bidi="ar-SA"/>
    </w:rPr>
  </w:style>
  <w:style w:type="character" w:customStyle="1" w:styleId="70">
    <w:name w:val="普通文字 Char1"/>
    <w:qFormat/>
    <w:uiPriority w:val="0"/>
    <w:rPr>
      <w:rFonts w:ascii="宋体" w:hAnsi="Courier New" w:eastAsia="宋体"/>
      <w:kern w:val="2"/>
      <w:sz w:val="21"/>
      <w:szCs w:val="21"/>
      <w:lang w:val="en-US" w:eastAsia="zh-CN" w:bidi="ar-SA"/>
    </w:rPr>
  </w:style>
  <w:style w:type="character" w:customStyle="1" w:styleId="71">
    <w:name w:val="font41"/>
    <w:qFormat/>
    <w:uiPriority w:val="0"/>
    <w:rPr>
      <w:rFonts w:ascii="font-weight : 400" w:hAnsi="font-weight : 400" w:eastAsia="font-weight : 400" w:cs="font-weight : 400"/>
      <w:color w:val="000000"/>
      <w:sz w:val="21"/>
      <w:szCs w:val="21"/>
      <w:u w:val="none"/>
    </w:rPr>
  </w:style>
  <w:style w:type="character" w:customStyle="1" w:styleId="72">
    <w:name w:val="批注主题 字符"/>
    <w:link w:val="27"/>
    <w:qFormat/>
    <w:uiPriority w:val="0"/>
    <w:rPr>
      <w:rFonts w:ascii="Tahoma" w:hAnsi="Tahoma"/>
      <w:b/>
      <w:bCs/>
      <w:kern w:val="2"/>
      <w:sz w:val="21"/>
      <w:szCs w:val="24"/>
    </w:rPr>
  </w:style>
  <w:style w:type="character" w:customStyle="1" w:styleId="73">
    <w:name w:val="redfilefwwh"/>
    <w:basedOn w:val="30"/>
    <w:qFormat/>
    <w:uiPriority w:val="0"/>
    <w:rPr>
      <w:color w:val="BA2636"/>
      <w:sz w:val="18"/>
      <w:szCs w:val="18"/>
    </w:rPr>
  </w:style>
  <w:style w:type="character" w:customStyle="1" w:styleId="74">
    <w:name w:val="批注文字 字符"/>
    <w:link w:val="10"/>
    <w:semiHidden/>
    <w:qFormat/>
    <w:uiPriority w:val="99"/>
    <w:rPr>
      <w:rFonts w:ascii="Tahoma" w:hAnsi="Tahoma"/>
      <w:kern w:val="2"/>
      <w:sz w:val="21"/>
      <w:szCs w:val="24"/>
    </w:rPr>
  </w:style>
  <w:style w:type="character" w:customStyle="1" w:styleId="75">
    <w:name w:val="redfilenumber"/>
    <w:basedOn w:val="30"/>
    <w:qFormat/>
    <w:uiPriority w:val="0"/>
    <w:rPr>
      <w:color w:val="BA2636"/>
      <w:sz w:val="18"/>
      <w:szCs w:val="18"/>
    </w:rPr>
  </w:style>
  <w:style w:type="paragraph" w:customStyle="1" w:styleId="76">
    <w:name w:val="Char1 Char Char Char"/>
    <w:basedOn w:val="1"/>
    <w:qFormat/>
    <w:uiPriority w:val="0"/>
    <w:pPr>
      <w:adjustRightInd w:val="0"/>
      <w:spacing w:line="360" w:lineRule="auto"/>
    </w:pPr>
    <w:rPr>
      <w:kern w:val="0"/>
      <w:sz w:val="24"/>
      <w:szCs w:val="20"/>
    </w:rPr>
  </w:style>
  <w:style w:type="paragraph" w:customStyle="1" w:styleId="77">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8">
    <w:name w:val="_Style 2"/>
    <w:basedOn w:val="1"/>
    <w:qFormat/>
    <w:uiPriority w:val="34"/>
    <w:pPr>
      <w:ind w:firstLine="420" w:firstLineChars="200"/>
    </w:pPr>
  </w:style>
  <w:style w:type="paragraph" w:customStyle="1" w:styleId="79">
    <w:name w:val="Char Char Char Char Char Char"/>
    <w:basedOn w:val="1"/>
    <w:qFormat/>
    <w:uiPriority w:val="0"/>
    <w:rPr>
      <w:rFonts w:ascii="Tahoma" w:hAnsi="Tahoma"/>
      <w:sz w:val="24"/>
    </w:rPr>
  </w:style>
  <w:style w:type="paragraph" w:customStyle="1" w:styleId="80">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81">
    <w:name w:val="Char Char Char"/>
    <w:basedOn w:val="1"/>
    <w:qFormat/>
    <w:uiPriority w:val="0"/>
    <w:rPr>
      <w:rFonts w:ascii="Tahoma" w:hAnsi="Tahoma"/>
      <w:sz w:val="24"/>
      <w:szCs w:val="20"/>
    </w:rPr>
  </w:style>
  <w:style w:type="paragraph" w:customStyle="1" w:styleId="8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3">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84">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5">
    <w:name w:val="二级条标题"/>
    <w:basedOn w:val="86"/>
    <w:next w:val="1"/>
    <w:qFormat/>
    <w:uiPriority w:val="0"/>
    <w:pPr>
      <w:numPr>
        <w:ilvl w:val="3"/>
      </w:numPr>
      <w:outlineLvl w:val="3"/>
    </w:pPr>
  </w:style>
  <w:style w:type="paragraph" w:customStyle="1" w:styleId="86">
    <w:name w:val="一级条标题"/>
    <w:basedOn w:val="80"/>
    <w:next w:val="1"/>
    <w:qFormat/>
    <w:uiPriority w:val="0"/>
    <w:pPr>
      <w:numPr>
        <w:ilvl w:val="2"/>
      </w:numPr>
      <w:spacing w:beforeLines="0" w:afterLines="0"/>
      <w:outlineLvl w:val="2"/>
    </w:pPr>
  </w:style>
  <w:style w:type="paragraph" w:customStyle="1" w:styleId="87">
    <w:name w:val="Char Char Char1"/>
    <w:basedOn w:val="1"/>
    <w:qFormat/>
    <w:uiPriority w:val="0"/>
    <w:rPr>
      <w:rFonts w:ascii="Tahoma" w:hAnsi="Tahoma"/>
      <w:sz w:val="24"/>
      <w:szCs w:val="20"/>
    </w:rPr>
  </w:style>
  <w:style w:type="paragraph" w:customStyle="1" w:styleId="88">
    <w:name w:val="样式5"/>
    <w:basedOn w:val="89"/>
    <w:qFormat/>
    <w:uiPriority w:val="0"/>
    <w:pPr>
      <w:numPr>
        <w:ilvl w:val="3"/>
      </w:numPr>
      <w:tabs>
        <w:tab w:val="left" w:pos="432"/>
      </w:tabs>
      <w:spacing w:before="156"/>
    </w:pPr>
  </w:style>
  <w:style w:type="paragraph" w:customStyle="1" w:styleId="89">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90">
    <w:name w:val="Char"/>
    <w:basedOn w:val="1"/>
    <w:qFormat/>
    <w:uiPriority w:val="0"/>
    <w:pPr>
      <w:adjustRightInd w:val="0"/>
      <w:spacing w:line="360" w:lineRule="auto"/>
    </w:pPr>
    <w:rPr>
      <w:kern w:val="0"/>
      <w:sz w:val="24"/>
      <w:szCs w:val="20"/>
    </w:rPr>
  </w:style>
  <w:style w:type="paragraph" w:customStyle="1" w:styleId="91">
    <w:name w:val="Char1"/>
    <w:basedOn w:val="1"/>
    <w:qFormat/>
    <w:uiPriority w:val="0"/>
    <w:pPr>
      <w:adjustRightInd w:val="0"/>
      <w:spacing w:line="360" w:lineRule="auto"/>
    </w:pPr>
    <w:rPr>
      <w:kern w:val="0"/>
      <w:sz w:val="24"/>
      <w:szCs w:val="20"/>
    </w:rPr>
  </w:style>
  <w:style w:type="paragraph" w:customStyle="1" w:styleId="92">
    <w:name w:val="三级条标题"/>
    <w:basedOn w:val="85"/>
    <w:next w:val="1"/>
    <w:qFormat/>
    <w:uiPriority w:val="0"/>
    <w:pPr>
      <w:numPr>
        <w:ilvl w:val="4"/>
      </w:numPr>
      <w:outlineLvl w:val="4"/>
    </w:pPr>
  </w:style>
  <w:style w:type="paragraph" w:customStyle="1" w:styleId="93">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4">
    <w:name w:val="Char Char Char Char Char Char Char"/>
    <w:basedOn w:val="1"/>
    <w:qFormat/>
    <w:uiPriority w:val="0"/>
    <w:rPr>
      <w:rFonts w:ascii="Tahoma" w:hAnsi="Tahoma" w:cs="Arial"/>
      <w:szCs w:val="21"/>
    </w:rPr>
  </w:style>
  <w:style w:type="paragraph" w:customStyle="1" w:styleId="95">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6">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7">
    <w:name w:val="五级条标题"/>
    <w:basedOn w:val="98"/>
    <w:next w:val="1"/>
    <w:qFormat/>
    <w:uiPriority w:val="0"/>
    <w:pPr>
      <w:numPr>
        <w:ilvl w:val="6"/>
      </w:numPr>
      <w:outlineLvl w:val="6"/>
    </w:pPr>
  </w:style>
  <w:style w:type="paragraph" w:customStyle="1" w:styleId="98">
    <w:name w:val="四级条标题"/>
    <w:basedOn w:val="92"/>
    <w:next w:val="1"/>
    <w:qFormat/>
    <w:uiPriority w:val="0"/>
    <w:pPr>
      <w:numPr>
        <w:ilvl w:val="5"/>
      </w:numPr>
      <w:outlineLvl w:val="5"/>
    </w:pPr>
  </w:style>
  <w:style w:type="paragraph" w:customStyle="1" w:styleId="99">
    <w:name w:val="Normal Indent1"/>
    <w:basedOn w:val="1"/>
    <w:qFormat/>
    <w:uiPriority w:val="99"/>
    <w:pPr>
      <w:autoSpaceDE w:val="0"/>
      <w:autoSpaceDN w:val="0"/>
      <w:adjustRightInd w:val="0"/>
      <w:ind w:firstLine="420"/>
    </w:pPr>
    <w:rPr>
      <w:kern w:val="0"/>
      <w:szCs w:val="21"/>
    </w:rPr>
  </w:style>
  <w:style w:type="paragraph" w:customStyle="1" w:styleId="100">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101">
    <w:name w:val="样式6"/>
    <w:basedOn w:val="89"/>
    <w:qFormat/>
    <w:uiPriority w:val="0"/>
    <w:pPr>
      <w:numPr>
        <w:ilvl w:val="2"/>
      </w:numPr>
      <w:tabs>
        <w:tab w:val="clear" w:pos="432"/>
      </w:tabs>
      <w:spacing w:before="156"/>
      <w:outlineLvl w:val="4"/>
    </w:pPr>
    <w:rPr>
      <w:rFonts w:ascii="MS Shell Dlg" w:hAnsi="MS Shell Dlg"/>
    </w:rPr>
  </w:style>
  <w:style w:type="paragraph" w:customStyle="1" w:styleId="102">
    <w:name w:val="列出段落1"/>
    <w:basedOn w:val="1"/>
    <w:qFormat/>
    <w:uiPriority w:val="0"/>
    <w:pPr>
      <w:ind w:firstLine="420" w:firstLineChars="200"/>
    </w:pPr>
    <w:rPr>
      <w:rFonts w:ascii="Calibri" w:hAnsi="Calibri"/>
      <w:kern w:val="0"/>
      <w:sz w:val="20"/>
      <w:szCs w:val="20"/>
    </w:rPr>
  </w:style>
  <w:style w:type="paragraph" w:customStyle="1" w:styleId="103">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04">
    <w:name w:val="Table Paragraph"/>
    <w:basedOn w:val="1"/>
    <w:unhideWhenUsed/>
    <w:qFormat/>
    <w:uiPriority w:val="1"/>
    <w:rPr>
      <w:rFonts w:hint="eastAsia"/>
      <w:sz w:val="24"/>
    </w:rPr>
  </w:style>
  <w:style w:type="paragraph" w:customStyle="1" w:styleId="105">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6">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7">
    <w:name w:val="标题 2 字符"/>
    <w:link w:val="4"/>
    <w:qFormat/>
    <w:uiPriority w:val="0"/>
    <w:rPr>
      <w:rFonts w:ascii="Arial" w:hAnsi="Arial" w:eastAsia="黑体"/>
      <w:b/>
      <w:bCs/>
      <w:sz w:val="32"/>
      <w:szCs w:val="32"/>
    </w:rPr>
  </w:style>
  <w:style w:type="character" w:customStyle="1" w:styleId="108">
    <w:name w:val="标题 1 字符"/>
    <w:link w:val="3"/>
    <w:qFormat/>
    <w:uiPriority w:val="0"/>
    <w:rPr>
      <w:b/>
      <w:bCs/>
      <w:kern w:val="44"/>
      <w:sz w:val="44"/>
      <w:szCs w:val="44"/>
    </w:rPr>
  </w:style>
  <w:style w:type="paragraph" w:customStyle="1" w:styleId="109">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10">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111">
    <w:name w:val="正文 New New New New New New New New New New New New New New New New New New New"/>
    <w:qFormat/>
    <w:uiPriority w:val="0"/>
    <w:pPr>
      <w:widowControl w:val="0"/>
      <w:jc w:val="both"/>
    </w:pPr>
    <w:rPr>
      <w:rFonts w:ascii="Calibri" w:hAnsi="Calibri" w:eastAsia="宋体" w:cs="Times New Roman"/>
      <w:kern w:val="2"/>
      <w:sz w:val="28"/>
      <w:szCs w:val="24"/>
      <w:lang w:val="en-US" w:eastAsia="zh-CN" w:bidi="ar-SA"/>
    </w:rPr>
  </w:style>
  <w:style w:type="character" w:customStyle="1" w:styleId="112">
    <w:name w:val="time4"/>
    <w:basedOn w:val="30"/>
    <w:qFormat/>
    <w:uiPriority w:val="0"/>
    <w:rPr>
      <w:color w:val="484848"/>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D9AF57-27B5-49DB-BD11-75B5B17BEBE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75</Pages>
  <Words>44434</Words>
  <Characters>47365</Characters>
  <Lines>403</Lines>
  <Paragraphs>113</Paragraphs>
  <TotalTime>5</TotalTime>
  <ScaleCrop>false</ScaleCrop>
  <LinksUpToDate>false</LinksUpToDate>
  <CharactersWithSpaces>52616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2022-11-15T04:00:00Z</dcterms:created>
  <dc:creator>风之客</dc:creator>
  <cp:lastModifiedBy>ying</cp:lastModifiedBy>
  <cp:lastPrinted>2023-07-04T10:52:00Z</cp:lastPrinted>
  <dcterms:modified xsi:type="dcterms:W3CDTF">2023-07-12T08:58:54Z</dcterms:modified>
  <dc:title>湖 北  招 标</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0893775613E244AFB9EB63BD0AF6EFDD</vt:lpwstr>
  </property>
</Properties>
</file>